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附件2</w:t>
      </w:r>
    </w:p>
    <w:p>
      <w:pPr>
        <w:widowControl/>
        <w:kinsoku w:val="0"/>
        <w:wordWrap/>
        <w:autoSpaceDE w:val="0"/>
        <w:autoSpaceDN w:val="0"/>
        <w:adjustRightInd w:val="0"/>
        <w:snapToGrid w:val="0"/>
        <w:spacing w:before="100" w:line="500" w:lineRule="exact"/>
        <w:ind w:left="0" w:leftChars="0" w:right="0" w:firstLine="0" w:firstLineChars="0"/>
        <w:jc w:val="center"/>
        <w:textAlignment w:val="baseline"/>
        <w:outlineLvl w:val="9"/>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9"/>
          <w:sz w:val="44"/>
          <w:szCs w:val="44"/>
          <w:lang w:val="en-US" w:eastAsia="zh-CN"/>
        </w:rPr>
        <w:t>霍</w:t>
      </w:r>
      <w:r>
        <w:rPr>
          <w:rFonts w:hint="eastAsia" w:ascii="方正小标宋简体" w:hAnsi="方正小标宋简体" w:eastAsia="方正小标宋简体" w:cs="方正小标宋简体"/>
          <w:spacing w:val="-14"/>
          <w:sz w:val="44"/>
          <w:szCs w:val="44"/>
          <w:lang w:val="en-US" w:eastAsia="zh-CN"/>
        </w:rPr>
        <w:t>州市</w:t>
      </w:r>
      <w:r>
        <w:rPr>
          <w:rFonts w:hint="eastAsia" w:ascii="方正小标宋简体" w:hAnsi="方正小标宋简体" w:eastAsia="方正小标宋简体" w:cs="方正小标宋简体"/>
          <w:spacing w:val="-14"/>
          <w:sz w:val="44"/>
          <w:szCs w:val="44"/>
        </w:rPr>
        <w:t>乡镇（街道）</w:t>
      </w:r>
    </w:p>
    <w:p>
      <w:pPr>
        <w:widowControl/>
        <w:kinsoku w:val="0"/>
        <w:wordWrap/>
        <w:autoSpaceDE w:val="0"/>
        <w:autoSpaceDN w:val="0"/>
        <w:adjustRightInd w:val="0"/>
        <w:snapToGrid w:val="0"/>
        <w:spacing w:before="100" w:line="500" w:lineRule="exact"/>
        <w:ind w:left="0" w:leftChars="0" w:right="0" w:firstLine="0" w:firstLineChars="0"/>
        <w:jc w:val="center"/>
        <w:textAlignment w:val="baseline"/>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4"/>
          <w:sz w:val="44"/>
          <w:szCs w:val="44"/>
        </w:rPr>
        <w:t>行政处罚裁量基准清单（二）</w:t>
      </w:r>
    </w:p>
    <w:p>
      <w:pPr>
        <w:spacing w:line="176" w:lineRule="exact"/>
      </w:pPr>
    </w:p>
    <w:tbl>
      <w:tblPr>
        <w:tblStyle w:val="8"/>
        <w:tblW w:w="102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0"/>
        <w:gridCol w:w="1291"/>
        <w:gridCol w:w="496"/>
        <w:gridCol w:w="885"/>
        <w:gridCol w:w="795"/>
        <w:gridCol w:w="749"/>
        <w:gridCol w:w="705"/>
        <w:gridCol w:w="1471"/>
        <w:gridCol w:w="30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pPr>
              <w:widowControl/>
              <w:kinsoku w:val="0"/>
              <w:wordWrap/>
              <w:autoSpaceDE w:val="0"/>
              <w:autoSpaceDN w:val="0"/>
              <w:adjustRightInd w:val="0"/>
              <w:snapToGrid w:val="0"/>
              <w:spacing w:line="219"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赋权</w:t>
            </w:r>
            <w:r>
              <w:rPr>
                <w:rFonts w:hint="eastAsia" w:ascii="宋体" w:hAnsi="宋体" w:eastAsia="宋体" w:cs="宋体"/>
                <w:sz w:val="24"/>
                <w:szCs w:val="24"/>
                <w:lang w:eastAsia="zh-CN"/>
              </w:rPr>
              <w:t>下放事项</w:t>
            </w:r>
            <w:r>
              <w:rPr>
                <w:rFonts w:hint="eastAsia" w:ascii="宋体" w:hAnsi="宋体" w:eastAsia="宋体" w:cs="宋体"/>
                <w:spacing w:val="-1"/>
                <w:sz w:val="24"/>
                <w:szCs w:val="24"/>
              </w:rPr>
              <w:t>序号</w:t>
            </w:r>
          </w:p>
        </w:tc>
        <w:tc>
          <w:tcPr>
            <w:tcW w:w="1291" w:type="dxa"/>
            <w:vMerge w:val="restart"/>
            <w:tcBorders>
              <w:top w:val="single" w:color="auto" w:sz="4" w:space="0"/>
              <w:left w:val="single" w:color="auto" w:sz="4" w:space="0"/>
              <w:bottom w:val="single" w:color="auto" w:sz="4" w:space="0"/>
              <w:right w:val="single" w:color="auto" w:sz="4" w:space="0"/>
            </w:tcBorders>
            <w:vAlign w:val="center"/>
          </w:tcPr>
          <w:p>
            <w:pPr>
              <w:spacing w:before="52" w:line="219" w:lineRule="auto"/>
              <w:jc w:val="center"/>
              <w:rPr>
                <w:rFonts w:hint="eastAsia" w:ascii="宋体" w:hAnsi="宋体" w:eastAsia="宋体" w:cs="宋体"/>
                <w:sz w:val="24"/>
                <w:szCs w:val="24"/>
              </w:rPr>
            </w:pPr>
            <w:r>
              <w:rPr>
                <w:rFonts w:hint="eastAsia" w:ascii="宋体" w:hAnsi="宋体" w:eastAsia="宋体" w:cs="宋体"/>
                <w:sz w:val="24"/>
                <w:szCs w:val="24"/>
              </w:rPr>
              <w:t>职权</w:t>
            </w:r>
          </w:p>
          <w:p>
            <w:pPr>
              <w:spacing w:before="52" w:line="219" w:lineRule="auto"/>
              <w:jc w:val="center"/>
              <w:rPr>
                <w:rFonts w:hint="eastAsia" w:ascii="宋体" w:hAnsi="宋体" w:eastAsia="宋体" w:cs="宋体"/>
                <w:sz w:val="24"/>
                <w:szCs w:val="24"/>
              </w:rPr>
            </w:pPr>
            <w:r>
              <w:rPr>
                <w:rFonts w:hint="eastAsia" w:ascii="宋体" w:hAnsi="宋体" w:eastAsia="宋体" w:cs="宋体"/>
                <w:sz w:val="24"/>
                <w:szCs w:val="24"/>
              </w:rPr>
              <w:t>名称</w:t>
            </w:r>
          </w:p>
        </w:tc>
        <w:tc>
          <w:tcPr>
            <w:tcW w:w="496" w:type="dxa"/>
            <w:vMerge w:val="restart"/>
            <w:tcBorders>
              <w:top w:val="single" w:color="auto" w:sz="4" w:space="0"/>
              <w:left w:val="single" w:color="auto" w:sz="4" w:space="0"/>
              <w:bottom w:val="single" w:color="auto" w:sz="4" w:space="0"/>
              <w:right w:val="single" w:color="auto" w:sz="4" w:space="0"/>
            </w:tcBorders>
            <w:vAlign w:val="center"/>
          </w:tcPr>
          <w:p>
            <w:pPr>
              <w:spacing w:before="52" w:line="219" w:lineRule="auto"/>
              <w:jc w:val="center"/>
              <w:rPr>
                <w:rFonts w:hint="eastAsia" w:ascii="宋体" w:hAnsi="宋体" w:eastAsia="宋体" w:cs="宋体"/>
                <w:sz w:val="24"/>
                <w:szCs w:val="24"/>
              </w:rPr>
            </w:pPr>
            <w:r>
              <w:rPr>
                <w:rFonts w:hint="eastAsia" w:ascii="宋体" w:hAnsi="宋体" w:eastAsia="宋体" w:cs="宋体"/>
                <w:sz w:val="24"/>
                <w:szCs w:val="24"/>
              </w:rPr>
              <w:t>职权</w:t>
            </w:r>
          </w:p>
          <w:p>
            <w:pPr>
              <w:spacing w:before="52" w:line="219" w:lineRule="auto"/>
              <w:jc w:val="center"/>
              <w:rPr>
                <w:rFonts w:hint="eastAsia" w:ascii="宋体" w:hAnsi="宋体" w:eastAsia="宋体" w:cs="宋体"/>
                <w:sz w:val="24"/>
                <w:szCs w:val="24"/>
              </w:rPr>
            </w:pPr>
            <w:r>
              <w:rPr>
                <w:rFonts w:hint="eastAsia" w:ascii="宋体" w:hAnsi="宋体" w:eastAsia="宋体" w:cs="宋体"/>
                <w:sz w:val="24"/>
                <w:szCs w:val="24"/>
              </w:rPr>
              <w:t>依据</w:t>
            </w:r>
          </w:p>
        </w:tc>
        <w:tc>
          <w:tcPr>
            <w:tcW w:w="7632" w:type="dxa"/>
            <w:gridSpan w:val="6"/>
            <w:tcBorders>
              <w:top w:val="single" w:color="auto" w:sz="4" w:space="0"/>
              <w:left w:val="single" w:color="auto" w:sz="4" w:space="0"/>
              <w:bottom w:val="single" w:color="auto" w:sz="4" w:space="0"/>
              <w:right w:val="single" w:color="auto" w:sz="4" w:space="0"/>
            </w:tcBorders>
            <w:vAlign w:val="top"/>
          </w:tcPr>
          <w:p>
            <w:pPr>
              <w:spacing w:before="112" w:line="220" w:lineRule="auto"/>
              <w:ind w:left="2622"/>
              <w:rPr>
                <w:rFonts w:hint="eastAsia" w:ascii="宋体" w:hAnsi="宋体" w:eastAsia="宋体" w:cs="宋体"/>
                <w:sz w:val="24"/>
                <w:szCs w:val="24"/>
              </w:rPr>
            </w:pPr>
            <w:r>
              <w:rPr>
                <w:rFonts w:hint="eastAsia" w:ascii="宋体" w:hAnsi="宋体" w:eastAsia="宋体" w:cs="宋体"/>
                <w:spacing w:val="1"/>
                <w:sz w:val="24"/>
                <w:szCs w:val="24"/>
              </w:rPr>
              <w:t>行政处罚裁量基准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宋体" w:hAnsi="宋体" w:eastAsia="宋体" w:cs="宋体"/>
                <w:sz w:val="36"/>
                <w:szCs w:val="36"/>
              </w:rPr>
            </w:pPr>
          </w:p>
        </w:tc>
        <w:tc>
          <w:tcPr>
            <w:tcW w:w="1291"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宋体" w:hAnsi="宋体" w:eastAsia="宋体" w:cs="宋体"/>
                <w:sz w:val="36"/>
                <w:szCs w:val="36"/>
              </w:rPr>
            </w:pPr>
          </w:p>
        </w:tc>
        <w:tc>
          <w:tcPr>
            <w:tcW w:w="496"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宋体" w:hAnsi="宋体" w:eastAsia="宋体" w:cs="宋体"/>
                <w:sz w:val="36"/>
                <w:szCs w:val="36"/>
              </w:rPr>
            </w:pPr>
          </w:p>
        </w:tc>
        <w:tc>
          <w:tcPr>
            <w:tcW w:w="2429" w:type="dxa"/>
            <w:gridSpan w:val="3"/>
            <w:tcBorders>
              <w:top w:val="single" w:color="auto" w:sz="4" w:space="0"/>
              <w:left w:val="single" w:color="auto" w:sz="4" w:space="0"/>
              <w:bottom w:val="single" w:color="auto" w:sz="4" w:space="0"/>
              <w:right w:val="single" w:color="auto" w:sz="4" w:space="0"/>
            </w:tcBorders>
            <w:vAlign w:val="top"/>
          </w:tcPr>
          <w:p>
            <w:pPr>
              <w:spacing w:before="103" w:line="219" w:lineRule="auto"/>
              <w:ind w:left="844"/>
              <w:rPr>
                <w:rFonts w:hint="eastAsia" w:ascii="宋体" w:hAnsi="宋体" w:eastAsia="宋体" w:cs="宋体"/>
                <w:sz w:val="24"/>
                <w:szCs w:val="24"/>
              </w:rPr>
            </w:pPr>
            <w:r>
              <w:rPr>
                <w:rFonts w:hint="eastAsia" w:ascii="宋体" w:hAnsi="宋体" w:eastAsia="宋体" w:cs="宋体"/>
                <w:sz w:val="24"/>
                <w:szCs w:val="24"/>
              </w:rPr>
              <w:t>裁量要素</w:t>
            </w:r>
          </w:p>
        </w:tc>
        <w:tc>
          <w:tcPr>
            <w:tcW w:w="2176" w:type="dxa"/>
            <w:gridSpan w:val="2"/>
            <w:tcBorders>
              <w:top w:val="single" w:color="auto" w:sz="4" w:space="0"/>
              <w:left w:val="single" w:color="auto" w:sz="4" w:space="0"/>
              <w:bottom w:val="single" w:color="auto" w:sz="4" w:space="0"/>
              <w:right w:val="single" w:color="auto" w:sz="4" w:space="0"/>
            </w:tcBorders>
            <w:vAlign w:val="top"/>
          </w:tcPr>
          <w:p>
            <w:pPr>
              <w:spacing w:before="103" w:line="220" w:lineRule="auto"/>
              <w:jc w:val="center"/>
              <w:rPr>
                <w:rFonts w:hint="eastAsia" w:ascii="宋体" w:hAnsi="宋体" w:eastAsia="宋体" w:cs="宋体"/>
                <w:sz w:val="24"/>
                <w:szCs w:val="24"/>
              </w:rPr>
            </w:pPr>
            <w:r>
              <w:rPr>
                <w:rFonts w:hint="eastAsia" w:ascii="宋体" w:hAnsi="宋体" w:eastAsia="宋体" w:cs="宋体"/>
                <w:sz w:val="24"/>
                <w:szCs w:val="24"/>
              </w:rPr>
              <w:t>判定标准</w:t>
            </w:r>
          </w:p>
        </w:tc>
        <w:tc>
          <w:tcPr>
            <w:tcW w:w="3027" w:type="dxa"/>
            <w:tcBorders>
              <w:top w:val="single" w:color="auto" w:sz="4" w:space="0"/>
              <w:left w:val="single" w:color="auto" w:sz="4" w:space="0"/>
              <w:bottom w:val="single" w:color="auto" w:sz="4" w:space="0"/>
              <w:right w:val="single" w:color="auto" w:sz="4" w:space="0"/>
            </w:tcBorders>
            <w:vAlign w:val="top"/>
          </w:tcPr>
          <w:p>
            <w:pPr>
              <w:spacing w:before="103" w:line="219" w:lineRule="auto"/>
              <w:ind w:left="268"/>
              <w:rPr>
                <w:rFonts w:hint="eastAsia" w:ascii="宋体" w:hAnsi="宋体" w:eastAsia="宋体" w:cs="宋体"/>
                <w:sz w:val="24"/>
                <w:szCs w:val="24"/>
              </w:rPr>
            </w:pPr>
            <w:r>
              <w:rPr>
                <w:rFonts w:hint="eastAsia" w:ascii="宋体" w:hAnsi="宋体" w:eastAsia="宋体" w:cs="宋体"/>
                <w:sz w:val="24"/>
                <w:szCs w:val="24"/>
              </w:rPr>
              <w:t>特别说明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宋体" w:hAnsi="宋体" w:eastAsia="宋体" w:cs="宋体"/>
                <w:sz w:val="36"/>
                <w:szCs w:val="36"/>
              </w:rPr>
            </w:pPr>
          </w:p>
        </w:tc>
        <w:tc>
          <w:tcPr>
            <w:tcW w:w="1291"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宋体" w:hAnsi="宋体" w:eastAsia="宋体" w:cs="宋体"/>
                <w:sz w:val="36"/>
                <w:szCs w:val="36"/>
              </w:rPr>
            </w:pPr>
          </w:p>
        </w:tc>
        <w:tc>
          <w:tcPr>
            <w:tcW w:w="496"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宋体" w:hAnsi="宋体" w:eastAsia="宋体" w:cs="宋体"/>
                <w:sz w:val="36"/>
                <w:szCs w:val="36"/>
              </w:rPr>
            </w:pPr>
          </w:p>
        </w:tc>
        <w:tc>
          <w:tcPr>
            <w:tcW w:w="885" w:type="dxa"/>
            <w:tcBorders>
              <w:top w:val="single" w:color="auto" w:sz="4" w:space="0"/>
              <w:left w:val="single" w:color="auto" w:sz="4" w:space="0"/>
              <w:bottom w:val="single" w:color="auto" w:sz="4" w:space="0"/>
              <w:right w:val="single" w:color="auto" w:sz="4" w:space="0"/>
            </w:tcBorders>
            <w:vAlign w:val="top"/>
          </w:tcPr>
          <w:p>
            <w:pPr>
              <w:spacing w:before="103" w:line="219" w:lineRule="auto"/>
              <w:ind w:left="196"/>
              <w:rPr>
                <w:rFonts w:hint="eastAsia" w:ascii="宋体" w:hAnsi="宋体" w:eastAsia="宋体" w:cs="宋体"/>
                <w:sz w:val="24"/>
                <w:szCs w:val="24"/>
              </w:rPr>
            </w:pPr>
            <w:r>
              <w:rPr>
                <w:rFonts w:hint="eastAsia" w:ascii="宋体" w:hAnsi="宋体" w:eastAsia="宋体" w:cs="宋体"/>
                <w:spacing w:val="-2"/>
                <w:sz w:val="24"/>
                <w:szCs w:val="24"/>
              </w:rPr>
              <w:t>要素</w:t>
            </w:r>
          </w:p>
        </w:tc>
        <w:tc>
          <w:tcPr>
            <w:tcW w:w="795" w:type="dxa"/>
            <w:tcBorders>
              <w:top w:val="single" w:color="auto" w:sz="4" w:space="0"/>
              <w:left w:val="single" w:color="auto" w:sz="4" w:space="0"/>
              <w:bottom w:val="single" w:color="auto" w:sz="4" w:space="0"/>
              <w:right w:val="single" w:color="auto" w:sz="4" w:space="0"/>
            </w:tcBorders>
            <w:vAlign w:val="top"/>
          </w:tcPr>
          <w:p>
            <w:pPr>
              <w:spacing w:before="103" w:line="219" w:lineRule="auto"/>
              <w:ind w:left="116"/>
              <w:rPr>
                <w:rFonts w:hint="eastAsia" w:ascii="宋体" w:hAnsi="宋体" w:eastAsia="宋体" w:cs="宋体"/>
                <w:sz w:val="24"/>
                <w:szCs w:val="24"/>
              </w:rPr>
            </w:pPr>
            <w:r>
              <w:rPr>
                <w:rFonts w:hint="eastAsia" w:ascii="宋体" w:hAnsi="宋体" w:eastAsia="宋体" w:cs="宋体"/>
                <w:spacing w:val="-1"/>
                <w:sz w:val="24"/>
                <w:szCs w:val="24"/>
              </w:rPr>
              <w:t>具体条件</w:t>
            </w:r>
          </w:p>
        </w:tc>
        <w:tc>
          <w:tcPr>
            <w:tcW w:w="749" w:type="dxa"/>
            <w:tcBorders>
              <w:top w:val="single" w:color="auto" w:sz="4" w:space="0"/>
              <w:left w:val="single" w:color="auto" w:sz="4" w:space="0"/>
              <w:bottom w:val="single" w:color="auto" w:sz="4" w:space="0"/>
              <w:right w:val="single" w:color="auto" w:sz="4" w:space="0"/>
            </w:tcBorders>
            <w:vAlign w:val="top"/>
          </w:tcPr>
          <w:p>
            <w:pPr>
              <w:widowControl/>
              <w:kinsoku w:val="0"/>
              <w:wordWrap/>
              <w:autoSpaceDE w:val="0"/>
              <w:autoSpaceDN w:val="0"/>
              <w:adjustRightInd w:val="0"/>
              <w:snapToGrid w:val="0"/>
              <w:spacing w:before="103" w:line="240" w:lineRule="exact"/>
              <w:ind w:left="6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构成</w:t>
            </w:r>
          </w:p>
          <w:p>
            <w:pPr>
              <w:widowControl/>
              <w:kinsoku w:val="0"/>
              <w:wordWrap/>
              <w:autoSpaceDE w:val="0"/>
              <w:autoSpaceDN w:val="0"/>
              <w:adjustRightInd w:val="0"/>
              <w:snapToGrid w:val="0"/>
              <w:spacing w:before="103" w:line="240" w:lineRule="exact"/>
              <w:ind w:left="6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比例</w:t>
            </w:r>
          </w:p>
        </w:tc>
        <w:tc>
          <w:tcPr>
            <w:tcW w:w="705" w:type="dxa"/>
            <w:tcBorders>
              <w:top w:val="single" w:color="auto" w:sz="4" w:space="0"/>
              <w:left w:val="single" w:color="auto" w:sz="4" w:space="0"/>
              <w:bottom w:val="single" w:color="auto" w:sz="4" w:space="0"/>
              <w:right w:val="single" w:color="auto" w:sz="4" w:space="0"/>
            </w:tcBorders>
            <w:vAlign w:val="top"/>
          </w:tcPr>
          <w:p>
            <w:pPr>
              <w:spacing w:before="103" w:line="220" w:lineRule="auto"/>
              <w:jc w:val="center"/>
              <w:rPr>
                <w:rFonts w:hint="eastAsia" w:ascii="宋体" w:hAnsi="宋体" w:eastAsia="宋体" w:cs="宋体"/>
                <w:sz w:val="24"/>
                <w:szCs w:val="24"/>
              </w:rPr>
            </w:pPr>
            <w:r>
              <w:rPr>
                <w:rFonts w:hint="eastAsia" w:ascii="宋体" w:hAnsi="宋体" w:eastAsia="宋体" w:cs="宋体"/>
                <w:spacing w:val="-2"/>
                <w:sz w:val="24"/>
                <w:szCs w:val="24"/>
              </w:rPr>
              <w:t>程度</w:t>
            </w:r>
          </w:p>
        </w:tc>
        <w:tc>
          <w:tcPr>
            <w:tcW w:w="1471" w:type="dxa"/>
            <w:tcBorders>
              <w:top w:val="single" w:color="auto" w:sz="4" w:space="0"/>
              <w:left w:val="single" w:color="auto" w:sz="4" w:space="0"/>
              <w:bottom w:val="single" w:color="auto" w:sz="4" w:space="0"/>
              <w:right w:val="single" w:color="auto" w:sz="4" w:space="0"/>
            </w:tcBorders>
            <w:vAlign w:val="top"/>
          </w:tcPr>
          <w:p>
            <w:pPr>
              <w:spacing w:before="103" w:line="219" w:lineRule="auto"/>
              <w:ind w:left="138"/>
              <w:rPr>
                <w:rFonts w:hint="eastAsia" w:ascii="宋体" w:hAnsi="宋体" w:eastAsia="宋体" w:cs="宋体"/>
                <w:sz w:val="24"/>
                <w:szCs w:val="24"/>
              </w:rPr>
            </w:pPr>
            <w:r>
              <w:rPr>
                <w:rFonts w:hint="eastAsia" w:ascii="宋体" w:hAnsi="宋体" w:eastAsia="宋体" w:cs="宋体"/>
                <w:spacing w:val="-1"/>
                <w:sz w:val="24"/>
                <w:szCs w:val="24"/>
              </w:rPr>
              <w:t>百分值（X）</w:t>
            </w:r>
          </w:p>
        </w:tc>
        <w:tc>
          <w:tcPr>
            <w:tcW w:w="3027" w:type="dxa"/>
            <w:tcBorders>
              <w:top w:val="single" w:color="auto" w:sz="4" w:space="0"/>
              <w:left w:val="single" w:color="auto" w:sz="4" w:space="0"/>
              <w:bottom w:val="single" w:color="auto" w:sz="4" w:space="0"/>
              <w:right w:val="single" w:color="auto" w:sz="4" w:space="0"/>
            </w:tcBorders>
            <w:vAlign w:val="top"/>
          </w:tcPr>
          <w:p>
            <w:pPr>
              <w:spacing w:line="259" w:lineRule="auto"/>
              <w:rPr>
                <w:rFonts w:hint="eastAsia" w:ascii="宋体" w:hAnsi="宋体" w:eastAsia="宋体" w:cs="宋体"/>
                <w:sz w:val="36"/>
                <w:szCs w:val="36"/>
              </w:rPr>
            </w:pPr>
          </w:p>
          <w:p>
            <w:pPr>
              <w:pStyle w:val="7"/>
              <w:spacing w:before="12" w:line="237" w:lineRule="auto"/>
              <w:ind w:right="9"/>
              <w:rPr>
                <w:rFonts w:hint="eastAsia" w:ascii="宋体" w:hAnsi="宋体" w:eastAsia="宋体" w:cs="宋体"/>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9"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napToGrid w:val="0"/>
                <w:color w:val="000000"/>
                <w:spacing w:val="-3"/>
                <w:kern w:val="0"/>
                <w:sz w:val="24"/>
                <w:szCs w:val="24"/>
                <w:lang w:val="en-US" w:eastAsia="zh-CN" w:bidi="ar-SA"/>
              </w:rPr>
              <w:t>25</w:t>
            </w:r>
          </w:p>
        </w:tc>
        <w:tc>
          <w:tcPr>
            <w:tcW w:w="1291" w:type="dxa"/>
            <w:tcBorders>
              <w:top w:val="single" w:color="auto" w:sz="4" w:space="0"/>
              <w:left w:val="single" w:color="auto" w:sz="4" w:space="0"/>
              <w:bottom w:val="single" w:color="auto" w:sz="4" w:space="0"/>
              <w:right w:val="single" w:color="auto" w:sz="4" w:space="0"/>
            </w:tcBorders>
            <w:vAlign w:val="center"/>
          </w:tcPr>
          <w:p>
            <w:pPr>
              <w:pStyle w:val="7"/>
              <w:widowControl/>
              <w:kinsoku w:val="0"/>
              <w:wordWrap/>
              <w:autoSpaceDE w:val="0"/>
              <w:autoSpaceDN w:val="0"/>
              <w:adjustRightInd w:val="0"/>
              <w:snapToGrid w:val="0"/>
              <w:spacing w:before="52" w:line="360" w:lineRule="exact"/>
              <w:ind w:left="0" w:leftChars="0" w:right="14" w:firstLine="0" w:firstLineChars="0"/>
              <w:jc w:val="both"/>
              <w:textAlignment w:val="baseline"/>
              <w:outlineLvl w:val="9"/>
              <w:rPr>
                <w:rFonts w:hint="eastAsia" w:ascii="仿宋_GB2312" w:hAnsi="仿宋_GB2312" w:eastAsia="仿宋_GB2312" w:cs="仿宋_GB2312"/>
                <w:sz w:val="32"/>
                <w:szCs w:val="18"/>
              </w:rPr>
            </w:pPr>
            <w:r>
              <w:rPr>
                <w:rFonts w:hint="eastAsia" w:ascii="仿宋_GB2312" w:hAnsi="仿宋_GB2312" w:eastAsia="仿宋_GB2312" w:cs="仿宋_GB2312"/>
                <w:spacing w:val="28"/>
                <w:sz w:val="24"/>
                <w:szCs w:val="24"/>
              </w:rPr>
              <w:t>对露天焚烧</w:t>
            </w:r>
            <w:r>
              <w:rPr>
                <w:rFonts w:hint="eastAsia" w:ascii="仿宋_GB2312" w:hAnsi="仿宋_GB2312" w:eastAsia="仿宋_GB2312" w:cs="仿宋_GB2312"/>
                <w:spacing w:val="5"/>
                <w:sz w:val="24"/>
                <w:szCs w:val="24"/>
              </w:rPr>
              <w:t>秸秆、落叶</w:t>
            </w:r>
            <w:r>
              <w:rPr>
                <w:rFonts w:hint="eastAsia" w:ascii="仿宋_GB2312" w:hAnsi="仿宋_GB2312" w:eastAsia="仿宋_GB2312" w:cs="仿宋_GB2312"/>
                <w:spacing w:val="28"/>
                <w:sz w:val="24"/>
                <w:szCs w:val="24"/>
              </w:rPr>
              <w:t>等产生烟尘污染物质的</w:t>
            </w:r>
            <w:r>
              <w:rPr>
                <w:rFonts w:hint="eastAsia" w:ascii="仿宋_GB2312" w:hAnsi="仿宋_GB2312" w:eastAsia="仿宋_GB2312" w:cs="仿宋_GB2312"/>
                <w:sz w:val="24"/>
                <w:szCs w:val="24"/>
              </w:rPr>
              <w:t>行为的处罚</w:t>
            </w:r>
          </w:p>
        </w:tc>
        <w:tc>
          <w:tcPr>
            <w:tcW w:w="5101" w:type="dxa"/>
            <w:gridSpan w:val="6"/>
            <w:tcBorders>
              <w:top w:val="single" w:color="auto" w:sz="4" w:space="0"/>
              <w:left w:val="single" w:color="auto" w:sz="4" w:space="0"/>
              <w:bottom w:val="single" w:color="auto" w:sz="4" w:space="0"/>
              <w:right w:val="single" w:color="auto" w:sz="4" w:space="0"/>
            </w:tcBorders>
            <w:vAlign w:val="center"/>
          </w:tcPr>
          <w:p>
            <w:pPr>
              <w:pStyle w:val="7"/>
              <w:spacing w:before="52" w:line="222"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《中华人民共和国大气污染防治法》</w:t>
            </w:r>
          </w:p>
          <w:p>
            <w:pPr>
              <w:pStyle w:val="7"/>
              <w:spacing w:before="7" w:line="228" w:lineRule="auto"/>
              <w:ind w:left="35" w:leftChars="0" w:right="4" w:firstLine="4" w:firstLineChars="0"/>
              <w:jc w:val="both"/>
              <w:rPr>
                <w:rFonts w:hint="eastAsia" w:ascii="仿宋_GB2312" w:hAnsi="仿宋_GB2312" w:eastAsia="仿宋_GB2312" w:cs="仿宋_GB2312"/>
                <w:spacing w:val="-1"/>
                <w:sz w:val="22"/>
                <w:szCs w:val="22"/>
              </w:rPr>
            </w:pPr>
            <w:r>
              <w:rPr>
                <w:rFonts w:hint="eastAsia" w:ascii="仿宋_GB2312" w:hAnsi="仿宋_GB2312" w:eastAsia="仿宋_GB2312" w:cs="仿宋_GB2312"/>
                <w:spacing w:val="11"/>
                <w:sz w:val="24"/>
                <w:szCs w:val="24"/>
              </w:rPr>
              <w:t>第一百一十九条第一款违反本法规定，在</w:t>
            </w:r>
            <w:r>
              <w:rPr>
                <w:rFonts w:hint="eastAsia" w:ascii="仿宋_GB2312" w:hAnsi="仿宋_GB2312" w:eastAsia="仿宋_GB2312" w:cs="仿宋_GB2312"/>
                <w:spacing w:val="10"/>
                <w:sz w:val="24"/>
                <w:szCs w:val="24"/>
              </w:rPr>
              <w:t>人口集中地区对树木、花草喷洒剧毒、高毒农</w:t>
            </w:r>
            <w:r>
              <w:rPr>
                <w:rFonts w:hint="eastAsia" w:ascii="仿宋_GB2312" w:hAnsi="仿宋_GB2312" w:eastAsia="仿宋_GB2312" w:cs="仿宋_GB2312"/>
                <w:spacing w:val="6"/>
                <w:sz w:val="24"/>
                <w:szCs w:val="24"/>
              </w:rPr>
              <w:t>药，或者露天焚烧秸秆、落叶等产生烟尘污染</w:t>
            </w:r>
            <w:r>
              <w:rPr>
                <w:rFonts w:hint="eastAsia" w:ascii="仿宋_GB2312" w:hAnsi="仿宋_GB2312" w:eastAsia="仿宋_GB2312" w:cs="仿宋_GB2312"/>
                <w:spacing w:val="5"/>
                <w:sz w:val="24"/>
                <w:szCs w:val="24"/>
              </w:rPr>
              <w:t>的物质的，由县级以上地方人民政府确定的监</w:t>
            </w:r>
            <w:r>
              <w:rPr>
                <w:rFonts w:hint="eastAsia" w:ascii="仿宋_GB2312" w:hAnsi="仿宋_GB2312" w:eastAsia="仿宋_GB2312" w:cs="仿宋_GB2312"/>
                <w:spacing w:val="2"/>
                <w:sz w:val="24"/>
                <w:szCs w:val="24"/>
              </w:rPr>
              <w:t>督管理部门责令改正，并可以处五百元以上二千元以下的罚款。</w:t>
            </w:r>
          </w:p>
        </w:tc>
        <w:tc>
          <w:tcPr>
            <w:tcW w:w="3027" w:type="dxa"/>
            <w:tcBorders>
              <w:top w:val="single" w:color="auto" w:sz="4" w:space="0"/>
              <w:left w:val="single" w:color="auto" w:sz="4" w:space="0"/>
              <w:bottom w:val="single" w:color="auto" w:sz="4" w:space="0"/>
              <w:right w:val="single" w:color="auto" w:sz="4" w:space="0"/>
            </w:tcBorders>
            <w:vAlign w:val="center"/>
          </w:tcPr>
          <w:p>
            <w:pPr>
              <w:pStyle w:val="7"/>
              <w:spacing w:before="19" w:line="234" w:lineRule="auto"/>
              <w:ind w:left="39" w:right="10" w:firstLine="5"/>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法定最高罚款额低于</w:t>
            </w:r>
            <w:r>
              <w:rPr>
                <w:rFonts w:hint="eastAsia" w:ascii="仿宋_GB2312" w:hAnsi="仿宋_GB2312" w:eastAsia="仿宋_GB2312" w:cs="仿宋_GB2312"/>
                <w:sz w:val="24"/>
                <w:szCs w:val="24"/>
              </w:rPr>
              <w:t>5万元，参考总则第</w:t>
            </w:r>
            <w:r>
              <w:rPr>
                <w:rFonts w:hint="eastAsia" w:ascii="仿宋_GB2312" w:hAnsi="仿宋_GB2312" w:eastAsia="仿宋_GB2312" w:cs="仿宋_GB2312"/>
                <w:spacing w:val="-4"/>
                <w:sz w:val="24"/>
                <w:szCs w:val="24"/>
              </w:rPr>
              <w:t>十八条裁量。</w:t>
            </w:r>
          </w:p>
          <w:p>
            <w:pPr>
              <w:pStyle w:val="7"/>
              <w:spacing w:before="14" w:line="238" w:lineRule="auto"/>
              <w:ind w:left="40" w:right="9" w:firstLine="5"/>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第十八条【未纳入专项罚款幅度裁量表的违法行为的处罚】法</w:t>
            </w:r>
            <w:r>
              <w:rPr>
                <w:rFonts w:hint="eastAsia" w:ascii="仿宋_GB2312" w:hAnsi="仿宋_GB2312" w:eastAsia="仿宋_GB2312" w:cs="仿宋_GB2312"/>
                <w:spacing w:val="9"/>
                <w:sz w:val="24"/>
                <w:szCs w:val="24"/>
              </w:rPr>
              <w:t>定最高处罚金额在5</w:t>
            </w:r>
            <w:r>
              <w:rPr>
                <w:rFonts w:hint="eastAsia" w:ascii="仿宋_GB2312" w:hAnsi="仿宋_GB2312" w:eastAsia="仿宋_GB2312" w:cs="仿宋_GB2312"/>
                <w:spacing w:val="2"/>
                <w:sz w:val="24"/>
                <w:szCs w:val="24"/>
              </w:rPr>
              <w:t>万元以下的环境行政处罚，不适用专项处</w:t>
            </w:r>
            <w:r>
              <w:rPr>
                <w:rFonts w:hint="eastAsia" w:ascii="仿宋_GB2312" w:hAnsi="仿宋_GB2312" w:eastAsia="仿宋_GB2312" w:cs="仿宋_GB2312"/>
                <w:spacing w:val="7"/>
                <w:sz w:val="24"/>
                <w:szCs w:val="24"/>
              </w:rPr>
              <w:t xml:space="preserve"> </w:t>
            </w:r>
            <w:r>
              <w:rPr>
                <w:rFonts w:hint="eastAsia" w:ascii="仿宋_GB2312" w:hAnsi="仿宋_GB2312" w:eastAsia="仿宋_GB2312" w:cs="仿宋_GB2312"/>
                <w:spacing w:val="2"/>
                <w:sz w:val="24"/>
                <w:szCs w:val="24"/>
              </w:rPr>
              <w:t>罚自由裁量基准表</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rPr>
              <w:t>根据案件基本情况，按照情节轻微、一般</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rPr>
              <w:t>较重三个档次进行</w:t>
            </w:r>
            <w:r>
              <w:rPr>
                <w:rFonts w:hint="eastAsia" w:ascii="仿宋_GB2312" w:hAnsi="仿宋_GB2312" w:eastAsia="仿宋_GB2312" w:cs="仿宋_GB2312"/>
                <w:spacing w:val="-6"/>
                <w:sz w:val="24"/>
                <w:szCs w:val="24"/>
              </w:rPr>
              <w:t>处罚。</w:t>
            </w:r>
          </w:p>
          <w:p>
            <w:pPr>
              <w:pStyle w:val="7"/>
              <w:spacing w:before="13" w:line="237" w:lineRule="auto"/>
              <w:ind w:left="39" w:right="10" w:firstLine="6"/>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（一）轻微。是指具</w:t>
            </w:r>
            <w:r>
              <w:rPr>
                <w:rFonts w:hint="eastAsia" w:ascii="仿宋_GB2312" w:hAnsi="仿宋_GB2312" w:eastAsia="仿宋_GB2312" w:cs="仿宋_GB2312"/>
                <w:spacing w:val="3"/>
                <w:sz w:val="24"/>
                <w:szCs w:val="24"/>
              </w:rPr>
              <w:t>有首次违法、违法持续时间较短、尚未造成危害后果、及时全</w:t>
            </w:r>
            <w:r>
              <w:rPr>
                <w:rFonts w:hint="eastAsia" w:ascii="仿宋_GB2312" w:hAnsi="仿宋_GB2312" w:eastAsia="仿宋_GB2312" w:cs="仿宋_GB2312"/>
                <w:spacing w:val="2"/>
                <w:sz w:val="24"/>
                <w:szCs w:val="24"/>
              </w:rPr>
              <w:t>面整改4种情形中2种</w:t>
            </w:r>
            <w:r>
              <w:rPr>
                <w:rFonts w:hint="eastAsia" w:ascii="仿宋_GB2312" w:hAnsi="仿宋_GB2312" w:eastAsia="仿宋_GB2312" w:cs="仿宋_GB2312"/>
                <w:spacing w:val="3"/>
                <w:sz w:val="24"/>
                <w:szCs w:val="24"/>
              </w:rPr>
              <w:t>以上的情形。情节轻微的</w:t>
            </w:r>
            <w:r>
              <w:rPr>
                <w:rFonts w:hint="eastAsia" w:ascii="仿宋_GB2312" w:hAnsi="仿宋_GB2312" w:eastAsia="仿宋_GB2312" w:cs="仿宋_GB2312"/>
                <w:spacing w:val="3"/>
                <w:sz w:val="24"/>
                <w:szCs w:val="24"/>
                <w:lang w:eastAsia="zh-CN"/>
              </w:rPr>
              <w:t>，</w:t>
            </w:r>
            <w:r>
              <w:rPr>
                <w:rFonts w:hint="eastAsia" w:ascii="仿宋_GB2312" w:hAnsi="仿宋_GB2312" w:eastAsia="仿宋_GB2312" w:cs="仿宋_GB2312"/>
                <w:spacing w:val="3"/>
                <w:sz w:val="24"/>
                <w:szCs w:val="24"/>
              </w:rPr>
              <w:t>可以从轻处罚</w:t>
            </w:r>
            <w:r>
              <w:rPr>
                <w:rFonts w:hint="eastAsia" w:ascii="仿宋_GB2312" w:hAnsi="仿宋_GB2312" w:eastAsia="仿宋_GB2312" w:cs="仿宋_GB2312"/>
                <w:spacing w:val="3"/>
                <w:sz w:val="24"/>
                <w:szCs w:val="24"/>
                <w:lang w:eastAsia="zh-CN"/>
              </w:rPr>
              <w:t>。</w:t>
            </w:r>
          </w:p>
          <w:p>
            <w:pPr>
              <w:pStyle w:val="7"/>
              <w:spacing w:before="18" w:line="238" w:lineRule="auto"/>
              <w:ind w:right="9"/>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（二）一般。是指具 有1年内2次以上违法</w:t>
            </w:r>
            <w:r>
              <w:rPr>
                <w:rFonts w:hint="eastAsia" w:ascii="仿宋_GB2312" w:hAnsi="仿宋_GB2312" w:eastAsia="仿宋_GB2312" w:cs="仿宋_GB2312"/>
                <w:spacing w:val="7"/>
                <w:sz w:val="24"/>
                <w:szCs w:val="24"/>
              </w:rPr>
              <w:t xml:space="preserve"> </w:t>
            </w:r>
            <w:r>
              <w:rPr>
                <w:rFonts w:hint="eastAsia" w:ascii="仿宋_GB2312" w:hAnsi="仿宋_GB2312" w:eastAsia="仿宋_GB2312" w:cs="仿宋_GB2312"/>
                <w:spacing w:val="3"/>
                <w:sz w:val="24"/>
                <w:szCs w:val="24"/>
              </w:rPr>
              <w:t>、违法持续时间较短</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pacing w:val="2"/>
                <w:sz w:val="24"/>
                <w:szCs w:val="24"/>
              </w:rPr>
              <w:t>、危害后果较轻、采</w:t>
            </w:r>
            <w:r>
              <w:rPr>
                <w:rFonts w:hint="eastAsia" w:ascii="仿宋_GB2312" w:hAnsi="仿宋_GB2312" w:eastAsia="仿宋_GB2312" w:cs="仿宋_GB2312"/>
                <w:spacing w:val="6"/>
                <w:sz w:val="24"/>
                <w:szCs w:val="24"/>
              </w:rPr>
              <w:t>取了整改措施4种情</w:t>
            </w:r>
            <w:r>
              <w:rPr>
                <w:rFonts w:hint="eastAsia" w:ascii="仿宋_GB2312" w:hAnsi="仿宋_GB2312" w:eastAsia="仿宋_GB2312" w:cs="仿宋_GB2312"/>
                <w:spacing w:val="3"/>
                <w:sz w:val="24"/>
                <w:szCs w:val="24"/>
              </w:rPr>
              <w:t>形中2种以上的情形</w:t>
            </w:r>
            <w:r>
              <w:rPr>
                <w:rFonts w:hint="eastAsia" w:ascii="仿宋_GB2312" w:hAnsi="仿宋_GB2312" w:eastAsia="仿宋_GB2312" w:cs="仿宋_GB2312"/>
                <w:spacing w:val="3"/>
                <w:sz w:val="24"/>
                <w:szCs w:val="24"/>
                <w:lang w:eastAsia="zh-CN"/>
              </w:rPr>
              <w:t>。</w:t>
            </w:r>
            <w:r>
              <w:rPr>
                <w:rFonts w:hint="eastAsia" w:ascii="仿宋_GB2312" w:hAnsi="仿宋_GB2312" w:eastAsia="仿宋_GB2312" w:cs="仿宋_GB2312"/>
                <w:spacing w:val="2"/>
                <w:sz w:val="24"/>
                <w:szCs w:val="24"/>
              </w:rPr>
              <w:t>情节一般的，在法</w:t>
            </w:r>
            <w:r>
              <w:rPr>
                <w:rFonts w:hint="eastAsia" w:ascii="仿宋_GB2312" w:hAnsi="仿宋_GB2312" w:eastAsia="仿宋_GB2312" w:cs="仿宋_GB2312"/>
                <w:spacing w:val="3"/>
                <w:sz w:val="24"/>
                <w:szCs w:val="24"/>
              </w:rPr>
              <w:t>定处罚幅度中位数以</w:t>
            </w:r>
            <w:r>
              <w:rPr>
                <w:rFonts w:hint="eastAsia" w:ascii="仿宋_GB2312" w:hAnsi="仿宋_GB2312" w:eastAsia="仿宋_GB2312" w:cs="仿宋_GB2312"/>
                <w:spacing w:val="-5"/>
                <w:sz w:val="24"/>
                <w:szCs w:val="24"/>
              </w:rPr>
              <w:t>下处罚。</w:t>
            </w:r>
          </w:p>
          <w:p>
            <w:pPr>
              <w:pStyle w:val="7"/>
              <w:spacing w:before="10" w:line="238" w:lineRule="auto"/>
              <w:ind w:left="39" w:right="9" w:firstLine="6"/>
              <w:jc w:val="both"/>
              <w:rPr>
                <w:rFonts w:hint="eastAsia" w:ascii="仿宋_GB2312" w:hAnsi="仿宋_GB2312" w:eastAsia="仿宋_GB2312" w:cs="仿宋_GB2312"/>
                <w:sz w:val="15"/>
                <w:szCs w:val="15"/>
              </w:rPr>
            </w:pPr>
            <w:r>
              <w:rPr>
                <w:rFonts w:hint="eastAsia" w:ascii="仿宋_GB2312" w:hAnsi="仿宋_GB2312" w:eastAsia="仿宋_GB2312" w:cs="仿宋_GB2312"/>
                <w:spacing w:val="2"/>
                <w:sz w:val="24"/>
                <w:szCs w:val="24"/>
              </w:rPr>
              <w:t>（三）较重。是指具有1年内3次以上违法</w:t>
            </w:r>
            <w:r>
              <w:rPr>
                <w:rFonts w:hint="eastAsia" w:ascii="仿宋_GB2312" w:hAnsi="仿宋_GB2312" w:eastAsia="仿宋_GB2312" w:cs="仿宋_GB2312"/>
                <w:spacing w:val="3"/>
                <w:sz w:val="24"/>
                <w:szCs w:val="24"/>
              </w:rPr>
              <w:t>、违法持续时间较长</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pacing w:val="2"/>
                <w:sz w:val="24"/>
                <w:szCs w:val="24"/>
              </w:rPr>
              <w:t>、危害后果较重、整改不及时4种情形中2种以上的情形。情节</w:t>
            </w:r>
            <w:r>
              <w:rPr>
                <w:rFonts w:hint="eastAsia" w:ascii="仿宋_GB2312" w:hAnsi="仿宋_GB2312" w:eastAsia="仿宋_GB2312" w:cs="仿宋_GB2312"/>
                <w:spacing w:val="3"/>
                <w:sz w:val="24"/>
                <w:szCs w:val="24"/>
              </w:rPr>
              <w:t>较重的，在法定处罚幅度中位数以上处罚</w:t>
            </w:r>
            <w:r>
              <w:rPr>
                <w:rFonts w:hint="eastAsia" w:ascii="仿宋_GB2312" w:hAnsi="仿宋_GB2312" w:eastAsia="仿宋_GB2312" w:cs="仿宋_GB2312"/>
                <w:spacing w:val="3"/>
                <w:sz w:val="24"/>
                <w:szCs w:val="24"/>
                <w:lang w:eastAsia="zh-CN"/>
              </w:rPr>
              <w:t>。</w:t>
            </w:r>
          </w:p>
        </w:tc>
      </w:tr>
    </w:tbl>
    <w:p>
      <w:pPr>
        <w:spacing w:before="16"/>
        <w:sectPr>
          <w:footerReference r:id="rId5" w:type="default"/>
          <w:pgSz w:w="11905" w:h="16837"/>
          <w:pgMar w:top="2098" w:right="1474" w:bottom="1984" w:left="1587" w:header="850" w:footer="992" w:gutter="0"/>
          <w:pgBorders>
            <w:top w:val="none" w:sz="0" w:space="0"/>
            <w:left w:val="none" w:sz="0" w:space="0"/>
            <w:bottom w:val="none" w:sz="0" w:space="0"/>
            <w:right w:val="none" w:sz="0" w:space="0"/>
          </w:pgBorders>
          <w:pgNumType w:fmt="numberInDash"/>
          <w:cols w:space="0" w:num="1"/>
          <w:rtlGutter w:val="0"/>
          <w:docGrid w:linePitch="1" w:charSpace="0"/>
        </w:sectPr>
      </w:pPr>
    </w:p>
    <w:p>
      <w:pPr>
        <w:spacing w:before="16"/>
      </w:pPr>
    </w:p>
    <w:tbl>
      <w:tblPr>
        <w:tblStyle w:val="8"/>
        <w:tblW w:w="97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0"/>
        <w:gridCol w:w="1119"/>
        <w:gridCol w:w="1635"/>
        <w:gridCol w:w="1710"/>
        <w:gridCol w:w="2445"/>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3" w:hRule="atLeast"/>
        </w:trPr>
        <w:tc>
          <w:tcPr>
            <w:tcW w:w="9700" w:type="dxa"/>
            <w:gridSpan w:val="6"/>
            <w:vAlign w:val="top"/>
          </w:tcPr>
          <w:p>
            <w:pPr>
              <w:spacing w:before="88" w:line="214" w:lineRule="auto"/>
              <w:jc w:val="center"/>
              <w:rPr>
                <w:rFonts w:ascii="宋体" w:hAnsi="宋体" w:eastAsia="宋体" w:cs="宋体"/>
                <w:sz w:val="20"/>
                <w:szCs w:val="20"/>
              </w:rPr>
            </w:pPr>
            <w:r>
              <w:rPr>
                <w:rFonts w:ascii="宋体" w:hAnsi="宋体" w:eastAsia="宋体" w:cs="宋体"/>
                <w:spacing w:val="1"/>
                <w:sz w:val="22"/>
                <w:szCs w:val="22"/>
              </w:rPr>
              <w:t>生态环境领域通用罚款幅度裁量表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800" w:type="dxa"/>
            <w:vAlign w:val="center"/>
          </w:tcPr>
          <w:p>
            <w:pPr>
              <w:spacing w:before="103" w:line="221" w:lineRule="auto"/>
              <w:ind w:left="80"/>
              <w:jc w:val="center"/>
              <w:rPr>
                <w:rFonts w:ascii="宋体" w:hAnsi="宋体" w:eastAsia="宋体" w:cs="宋体"/>
                <w:sz w:val="21"/>
                <w:szCs w:val="21"/>
              </w:rPr>
            </w:pPr>
            <w:r>
              <w:rPr>
                <w:rFonts w:ascii="宋体" w:hAnsi="宋体" w:eastAsia="宋体" w:cs="宋体"/>
                <w:sz w:val="21"/>
                <w:szCs w:val="21"/>
              </w:rPr>
              <w:t>裁量</w:t>
            </w:r>
          </w:p>
          <w:p>
            <w:pPr>
              <w:spacing w:before="103" w:line="221" w:lineRule="auto"/>
              <w:ind w:left="80"/>
              <w:jc w:val="center"/>
              <w:rPr>
                <w:rFonts w:ascii="宋体" w:hAnsi="宋体" w:eastAsia="宋体" w:cs="宋体"/>
                <w:sz w:val="21"/>
                <w:szCs w:val="21"/>
              </w:rPr>
            </w:pPr>
            <w:r>
              <w:rPr>
                <w:rFonts w:ascii="宋体" w:hAnsi="宋体" w:eastAsia="宋体" w:cs="宋体"/>
                <w:sz w:val="21"/>
                <w:szCs w:val="21"/>
              </w:rPr>
              <w:t>基准</w:t>
            </w:r>
          </w:p>
        </w:tc>
        <w:tc>
          <w:tcPr>
            <w:tcW w:w="1119" w:type="dxa"/>
            <w:vAlign w:val="center"/>
          </w:tcPr>
          <w:p>
            <w:pPr>
              <w:spacing w:before="104" w:line="219" w:lineRule="auto"/>
              <w:ind w:left="180"/>
              <w:jc w:val="center"/>
              <w:rPr>
                <w:rFonts w:ascii="宋体" w:hAnsi="宋体" w:eastAsia="宋体" w:cs="宋体"/>
                <w:sz w:val="21"/>
                <w:szCs w:val="21"/>
              </w:rPr>
            </w:pPr>
            <w:r>
              <w:rPr>
                <w:rFonts w:ascii="宋体" w:hAnsi="宋体" w:eastAsia="宋体" w:cs="宋体"/>
                <w:sz w:val="21"/>
                <w:szCs w:val="21"/>
              </w:rPr>
              <w:t>裁量</w:t>
            </w:r>
          </w:p>
          <w:p>
            <w:pPr>
              <w:spacing w:before="104" w:line="219" w:lineRule="auto"/>
              <w:ind w:left="180"/>
              <w:jc w:val="center"/>
              <w:rPr>
                <w:rFonts w:ascii="宋体" w:hAnsi="宋体" w:eastAsia="宋体" w:cs="宋体"/>
                <w:sz w:val="21"/>
                <w:szCs w:val="21"/>
              </w:rPr>
            </w:pPr>
            <w:r>
              <w:rPr>
                <w:rFonts w:ascii="宋体" w:hAnsi="宋体" w:eastAsia="宋体" w:cs="宋体"/>
                <w:sz w:val="21"/>
                <w:szCs w:val="21"/>
              </w:rPr>
              <w:t>因素</w:t>
            </w:r>
          </w:p>
        </w:tc>
        <w:tc>
          <w:tcPr>
            <w:tcW w:w="1635" w:type="dxa"/>
            <w:vAlign w:val="center"/>
          </w:tcPr>
          <w:p>
            <w:pPr>
              <w:spacing w:before="104" w:line="219" w:lineRule="auto"/>
              <w:ind w:left="524"/>
              <w:jc w:val="both"/>
              <w:rPr>
                <w:rFonts w:ascii="宋体" w:hAnsi="宋体" w:eastAsia="宋体" w:cs="宋体"/>
                <w:sz w:val="21"/>
                <w:szCs w:val="21"/>
              </w:rPr>
            </w:pPr>
            <w:r>
              <w:rPr>
                <w:rFonts w:ascii="宋体" w:hAnsi="宋体" w:eastAsia="宋体" w:cs="宋体"/>
                <w:spacing w:val="-2"/>
                <w:sz w:val="21"/>
                <w:szCs w:val="21"/>
              </w:rPr>
              <w:t>轻微</w:t>
            </w:r>
          </w:p>
        </w:tc>
        <w:tc>
          <w:tcPr>
            <w:tcW w:w="1710" w:type="dxa"/>
            <w:vAlign w:val="center"/>
          </w:tcPr>
          <w:p>
            <w:pPr>
              <w:spacing w:before="103" w:line="221" w:lineRule="auto"/>
              <w:jc w:val="center"/>
              <w:rPr>
                <w:rFonts w:ascii="宋体" w:hAnsi="宋体" w:eastAsia="宋体" w:cs="宋体"/>
                <w:sz w:val="21"/>
                <w:szCs w:val="21"/>
              </w:rPr>
            </w:pPr>
            <w:r>
              <w:rPr>
                <w:rFonts w:ascii="宋体" w:hAnsi="宋体" w:eastAsia="宋体" w:cs="宋体"/>
                <w:spacing w:val="-3"/>
                <w:sz w:val="21"/>
                <w:szCs w:val="21"/>
              </w:rPr>
              <w:t>一般</w:t>
            </w:r>
          </w:p>
        </w:tc>
        <w:tc>
          <w:tcPr>
            <w:tcW w:w="2445" w:type="dxa"/>
            <w:vAlign w:val="center"/>
          </w:tcPr>
          <w:p>
            <w:pPr>
              <w:spacing w:before="104" w:line="221" w:lineRule="auto"/>
              <w:jc w:val="center"/>
              <w:rPr>
                <w:rFonts w:ascii="宋体" w:hAnsi="宋体" w:eastAsia="宋体" w:cs="宋体"/>
                <w:sz w:val="21"/>
                <w:szCs w:val="21"/>
              </w:rPr>
            </w:pPr>
            <w:r>
              <w:rPr>
                <w:rFonts w:ascii="宋体" w:hAnsi="宋体" w:eastAsia="宋体" w:cs="宋体"/>
                <w:spacing w:val="-2"/>
                <w:sz w:val="21"/>
                <w:szCs w:val="21"/>
              </w:rPr>
              <w:t>较重</w:t>
            </w:r>
          </w:p>
        </w:tc>
        <w:tc>
          <w:tcPr>
            <w:tcW w:w="1991" w:type="dxa"/>
            <w:vAlign w:val="center"/>
          </w:tcPr>
          <w:p>
            <w:pPr>
              <w:spacing w:before="104" w:line="220" w:lineRule="auto"/>
              <w:ind w:left="432"/>
              <w:jc w:val="both"/>
              <w:rPr>
                <w:rFonts w:ascii="宋体" w:hAnsi="宋体" w:eastAsia="宋体" w:cs="宋体"/>
                <w:sz w:val="21"/>
                <w:szCs w:val="21"/>
              </w:rPr>
            </w:pPr>
            <w:r>
              <w:rPr>
                <w:rFonts w:hint="eastAsia" w:ascii="宋体" w:hAnsi="宋体" w:eastAsia="宋体" w:cs="宋体"/>
                <w:spacing w:val="-2"/>
                <w:sz w:val="21"/>
                <w:szCs w:val="21"/>
                <w:lang w:val="en-US" w:eastAsia="zh-CN"/>
              </w:rPr>
              <w:t xml:space="preserve">   </w:t>
            </w:r>
            <w:r>
              <w:rPr>
                <w:rFonts w:ascii="宋体" w:hAnsi="宋体" w:eastAsia="宋体" w:cs="宋体"/>
                <w:spacing w:val="-2"/>
                <w:sz w:val="21"/>
                <w:szCs w:val="21"/>
              </w:rPr>
              <w:t>严重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800" w:type="dxa"/>
            <w:vAlign w:val="top"/>
          </w:tcPr>
          <w:p>
            <w:pPr>
              <w:spacing w:before="104" w:line="219" w:lineRule="auto"/>
              <w:ind w:left="242"/>
              <w:rPr>
                <w:rFonts w:ascii="宋体" w:hAnsi="宋体" w:eastAsia="宋体" w:cs="宋体"/>
                <w:sz w:val="21"/>
                <w:szCs w:val="21"/>
              </w:rPr>
            </w:pPr>
            <w:r>
              <w:rPr>
                <w:rFonts w:ascii="宋体" w:hAnsi="宋体" w:eastAsia="宋体" w:cs="宋体"/>
                <w:spacing w:val="-2"/>
                <w:sz w:val="21"/>
                <w:szCs w:val="21"/>
              </w:rPr>
              <w:t>类别</w:t>
            </w:r>
          </w:p>
        </w:tc>
        <w:tc>
          <w:tcPr>
            <w:tcW w:w="1119" w:type="dxa"/>
            <w:vAlign w:val="top"/>
          </w:tcPr>
          <w:p>
            <w:pPr>
              <w:spacing w:before="104" w:line="219" w:lineRule="auto"/>
              <w:ind w:left="180"/>
              <w:rPr>
                <w:rFonts w:ascii="宋体" w:hAnsi="宋体" w:eastAsia="宋体" w:cs="宋体"/>
                <w:sz w:val="21"/>
                <w:szCs w:val="21"/>
              </w:rPr>
            </w:pPr>
            <w:r>
              <w:rPr>
                <w:rFonts w:ascii="宋体" w:hAnsi="宋体" w:eastAsia="宋体" w:cs="宋体"/>
                <w:sz w:val="21"/>
                <w:szCs w:val="21"/>
              </w:rPr>
              <w:t>裁量等级</w:t>
            </w:r>
          </w:p>
        </w:tc>
        <w:tc>
          <w:tcPr>
            <w:tcW w:w="1635" w:type="dxa"/>
            <w:vAlign w:val="top"/>
          </w:tcPr>
          <w:p>
            <w:pPr>
              <w:spacing w:before="104" w:line="221" w:lineRule="auto"/>
              <w:ind w:left="574"/>
              <w:rPr>
                <w:rFonts w:ascii="宋体" w:hAnsi="宋体" w:eastAsia="宋体" w:cs="宋体"/>
                <w:sz w:val="21"/>
                <w:szCs w:val="21"/>
              </w:rPr>
            </w:pPr>
            <w:r>
              <w:rPr>
                <w:rFonts w:ascii="宋体" w:hAnsi="宋体" w:eastAsia="宋体" w:cs="宋体"/>
                <w:spacing w:val="-8"/>
                <w:sz w:val="21"/>
                <w:szCs w:val="21"/>
              </w:rPr>
              <w:t>1级</w:t>
            </w:r>
          </w:p>
        </w:tc>
        <w:tc>
          <w:tcPr>
            <w:tcW w:w="1710" w:type="dxa"/>
            <w:vAlign w:val="top"/>
          </w:tcPr>
          <w:p>
            <w:pPr>
              <w:spacing w:before="104" w:line="221" w:lineRule="auto"/>
              <w:jc w:val="center"/>
              <w:rPr>
                <w:rFonts w:ascii="宋体" w:hAnsi="宋体" w:eastAsia="宋体" w:cs="宋体"/>
                <w:sz w:val="21"/>
                <w:szCs w:val="21"/>
              </w:rPr>
            </w:pPr>
            <w:r>
              <w:rPr>
                <w:rFonts w:ascii="宋体" w:hAnsi="宋体" w:eastAsia="宋体" w:cs="宋体"/>
                <w:spacing w:val="-3"/>
                <w:sz w:val="21"/>
                <w:szCs w:val="21"/>
              </w:rPr>
              <w:t>2级</w:t>
            </w:r>
          </w:p>
        </w:tc>
        <w:tc>
          <w:tcPr>
            <w:tcW w:w="2445" w:type="dxa"/>
            <w:vAlign w:val="top"/>
          </w:tcPr>
          <w:p>
            <w:pPr>
              <w:spacing w:before="104" w:line="222" w:lineRule="auto"/>
              <w:jc w:val="center"/>
              <w:rPr>
                <w:rFonts w:ascii="宋体" w:hAnsi="宋体" w:eastAsia="宋体" w:cs="宋体"/>
                <w:sz w:val="21"/>
                <w:szCs w:val="21"/>
              </w:rPr>
            </w:pPr>
            <w:r>
              <w:rPr>
                <w:rFonts w:ascii="宋体" w:hAnsi="宋体" w:eastAsia="宋体" w:cs="宋体"/>
                <w:spacing w:val="-3"/>
                <w:sz w:val="21"/>
                <w:szCs w:val="21"/>
              </w:rPr>
              <w:t>3</w:t>
            </w:r>
            <w:r>
              <w:rPr>
                <w:rFonts w:hint="eastAsia" w:ascii="宋体" w:hAnsi="宋体" w:eastAsia="宋体" w:cs="宋体"/>
                <w:spacing w:val="-3"/>
                <w:sz w:val="21"/>
                <w:szCs w:val="21"/>
                <w:lang w:eastAsia="zh-CN"/>
              </w:rPr>
              <w:t>级</w:t>
            </w:r>
          </w:p>
        </w:tc>
        <w:tc>
          <w:tcPr>
            <w:tcW w:w="1991" w:type="dxa"/>
            <w:vAlign w:val="top"/>
          </w:tcPr>
          <w:p>
            <w:pPr>
              <w:spacing w:before="104" w:line="221" w:lineRule="auto"/>
              <w:jc w:val="center"/>
              <w:rPr>
                <w:rFonts w:ascii="宋体" w:hAnsi="宋体" w:eastAsia="宋体" w:cs="宋体"/>
                <w:sz w:val="21"/>
                <w:szCs w:val="21"/>
              </w:rPr>
            </w:pPr>
            <w:r>
              <w:rPr>
                <w:rFonts w:ascii="宋体" w:hAnsi="宋体" w:eastAsia="宋体" w:cs="宋体"/>
                <w:spacing w:val="-1"/>
                <w:sz w:val="21"/>
                <w:szCs w:val="21"/>
              </w:rPr>
              <w:t>4级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1" w:hRule="atLeast"/>
        </w:trPr>
        <w:tc>
          <w:tcPr>
            <w:tcW w:w="800" w:type="dxa"/>
            <w:vMerge w:val="restart"/>
            <w:tcBorders>
              <w:bottom w:val="nil"/>
            </w:tcBorders>
            <w:textDirection w:val="tbRlV"/>
            <w:vAlign w:val="top"/>
          </w:tcPr>
          <w:p>
            <w:pPr>
              <w:pStyle w:val="7"/>
              <w:spacing w:before="286" w:line="210" w:lineRule="auto"/>
              <w:ind w:left="1096"/>
              <w:rPr>
                <w:rFonts w:hint="eastAsia" w:ascii="仿宋_GB2312" w:hAnsi="仿宋_GB2312" w:eastAsia="仿宋_GB2312" w:cs="仿宋_GB2312"/>
                <w:sz w:val="20"/>
                <w:szCs w:val="20"/>
              </w:rPr>
            </w:pPr>
            <w:r>
              <w:rPr>
                <w:rFonts w:hint="eastAsia" w:ascii="仿宋_GB2312" w:hAnsi="仿宋_GB2312" w:eastAsia="仿宋_GB2312" w:cs="仿宋_GB2312"/>
                <w:spacing w:val="13"/>
                <w:sz w:val="28"/>
                <w:szCs w:val="28"/>
              </w:rPr>
              <w:t>社</w:t>
            </w:r>
            <w:r>
              <w:rPr>
                <w:rFonts w:hint="eastAsia" w:ascii="仿宋_GB2312" w:hAnsi="仿宋_GB2312" w:eastAsia="仿宋_GB2312" w:cs="仿宋_GB2312"/>
                <w:spacing w:val="-46"/>
                <w:sz w:val="28"/>
                <w:szCs w:val="28"/>
              </w:rPr>
              <w:t xml:space="preserve"> </w:t>
            </w:r>
            <w:r>
              <w:rPr>
                <w:rFonts w:hint="eastAsia" w:ascii="仿宋_GB2312" w:hAnsi="仿宋_GB2312" w:eastAsia="仿宋_GB2312" w:cs="仿宋_GB2312"/>
                <w:spacing w:val="13"/>
                <w:sz w:val="28"/>
                <w:szCs w:val="28"/>
              </w:rPr>
              <w:t>会</w:t>
            </w:r>
            <w:r>
              <w:rPr>
                <w:rFonts w:hint="eastAsia" w:ascii="仿宋_GB2312" w:hAnsi="仿宋_GB2312" w:eastAsia="仿宋_GB2312" w:cs="仿宋_GB2312"/>
                <w:spacing w:val="-51"/>
                <w:sz w:val="28"/>
                <w:szCs w:val="28"/>
              </w:rPr>
              <w:t xml:space="preserve"> </w:t>
            </w:r>
            <w:r>
              <w:rPr>
                <w:rFonts w:hint="eastAsia" w:ascii="仿宋_GB2312" w:hAnsi="仿宋_GB2312" w:eastAsia="仿宋_GB2312" w:cs="仿宋_GB2312"/>
                <w:spacing w:val="13"/>
                <w:sz w:val="28"/>
                <w:szCs w:val="28"/>
              </w:rPr>
              <w:t>影</w:t>
            </w:r>
            <w:r>
              <w:rPr>
                <w:rFonts w:hint="eastAsia" w:ascii="仿宋_GB2312" w:hAnsi="仿宋_GB2312" w:eastAsia="仿宋_GB2312" w:cs="仿宋_GB2312"/>
                <w:spacing w:val="-52"/>
                <w:sz w:val="28"/>
                <w:szCs w:val="28"/>
              </w:rPr>
              <w:t xml:space="preserve"> </w:t>
            </w:r>
            <w:r>
              <w:rPr>
                <w:rFonts w:hint="eastAsia" w:ascii="仿宋_GB2312" w:hAnsi="仿宋_GB2312" w:eastAsia="仿宋_GB2312" w:cs="仿宋_GB2312"/>
                <w:spacing w:val="13"/>
                <w:sz w:val="28"/>
                <w:szCs w:val="28"/>
              </w:rPr>
              <w:t>响</w:t>
            </w:r>
            <w:r>
              <w:rPr>
                <w:rFonts w:hint="eastAsia" w:ascii="仿宋_GB2312" w:hAnsi="仿宋_GB2312" w:eastAsia="仿宋_GB2312" w:cs="仿宋_GB2312"/>
                <w:spacing w:val="-53"/>
                <w:sz w:val="28"/>
                <w:szCs w:val="28"/>
              </w:rPr>
              <w:t xml:space="preserve"> </w:t>
            </w:r>
            <w:r>
              <w:rPr>
                <w:rFonts w:hint="eastAsia" w:ascii="仿宋_GB2312" w:hAnsi="仿宋_GB2312" w:eastAsia="仿宋_GB2312" w:cs="仿宋_GB2312"/>
                <w:spacing w:val="13"/>
                <w:sz w:val="28"/>
                <w:szCs w:val="28"/>
              </w:rPr>
              <w:t>和</w:t>
            </w:r>
            <w:r>
              <w:rPr>
                <w:rFonts w:hint="eastAsia" w:ascii="仿宋_GB2312" w:hAnsi="仿宋_GB2312" w:eastAsia="仿宋_GB2312" w:cs="仿宋_GB2312"/>
                <w:spacing w:val="-52"/>
                <w:sz w:val="28"/>
                <w:szCs w:val="28"/>
              </w:rPr>
              <w:t xml:space="preserve"> </w:t>
            </w:r>
            <w:r>
              <w:rPr>
                <w:rFonts w:hint="eastAsia" w:ascii="仿宋_GB2312" w:hAnsi="仿宋_GB2312" w:eastAsia="仿宋_GB2312" w:cs="仿宋_GB2312"/>
                <w:spacing w:val="13"/>
                <w:sz w:val="28"/>
                <w:szCs w:val="28"/>
              </w:rPr>
              <w:t>生</w:t>
            </w:r>
            <w:r>
              <w:rPr>
                <w:rFonts w:hint="eastAsia" w:ascii="仿宋_GB2312" w:hAnsi="仿宋_GB2312" w:eastAsia="仿宋_GB2312" w:cs="仿宋_GB2312"/>
                <w:spacing w:val="-51"/>
                <w:sz w:val="28"/>
                <w:szCs w:val="28"/>
              </w:rPr>
              <w:t xml:space="preserve"> </w:t>
            </w:r>
            <w:r>
              <w:rPr>
                <w:rFonts w:hint="eastAsia" w:ascii="仿宋_GB2312" w:hAnsi="仿宋_GB2312" w:eastAsia="仿宋_GB2312" w:cs="仿宋_GB2312"/>
                <w:spacing w:val="13"/>
                <w:sz w:val="28"/>
                <w:szCs w:val="28"/>
              </w:rPr>
              <w:t>态</w:t>
            </w:r>
            <w:r>
              <w:rPr>
                <w:rFonts w:hint="eastAsia" w:ascii="仿宋_GB2312" w:hAnsi="仿宋_GB2312" w:eastAsia="仿宋_GB2312" w:cs="仿宋_GB2312"/>
                <w:spacing w:val="-51"/>
                <w:sz w:val="28"/>
                <w:szCs w:val="28"/>
              </w:rPr>
              <w:t xml:space="preserve"> </w:t>
            </w:r>
            <w:r>
              <w:rPr>
                <w:rFonts w:hint="eastAsia" w:ascii="仿宋_GB2312" w:hAnsi="仿宋_GB2312" w:eastAsia="仿宋_GB2312" w:cs="仿宋_GB2312"/>
                <w:spacing w:val="13"/>
                <w:sz w:val="28"/>
                <w:szCs w:val="28"/>
              </w:rPr>
              <w:t>破</w:t>
            </w:r>
            <w:r>
              <w:rPr>
                <w:rFonts w:hint="eastAsia" w:ascii="仿宋_GB2312" w:hAnsi="仿宋_GB2312" w:eastAsia="仿宋_GB2312" w:cs="仿宋_GB2312"/>
                <w:spacing w:val="-52"/>
                <w:sz w:val="28"/>
                <w:szCs w:val="28"/>
              </w:rPr>
              <w:t xml:space="preserve"> </w:t>
            </w:r>
            <w:r>
              <w:rPr>
                <w:rFonts w:hint="eastAsia" w:ascii="仿宋_GB2312" w:hAnsi="仿宋_GB2312" w:eastAsia="仿宋_GB2312" w:cs="仿宋_GB2312"/>
                <w:spacing w:val="13"/>
                <w:sz w:val="28"/>
                <w:szCs w:val="28"/>
              </w:rPr>
              <w:t>坏</w:t>
            </w:r>
            <w:r>
              <w:rPr>
                <w:rFonts w:hint="eastAsia" w:ascii="仿宋_GB2312" w:hAnsi="仿宋_GB2312" w:eastAsia="仿宋_GB2312" w:cs="仿宋_GB2312"/>
                <w:spacing w:val="-51"/>
                <w:sz w:val="28"/>
                <w:szCs w:val="28"/>
              </w:rPr>
              <w:t xml:space="preserve"> </w:t>
            </w:r>
            <w:r>
              <w:rPr>
                <w:rFonts w:hint="eastAsia" w:ascii="仿宋_GB2312" w:hAnsi="仿宋_GB2312" w:eastAsia="仿宋_GB2312" w:cs="仿宋_GB2312"/>
                <w:spacing w:val="13"/>
                <w:sz w:val="28"/>
                <w:szCs w:val="28"/>
              </w:rPr>
              <w:t>裁</w:t>
            </w:r>
            <w:r>
              <w:rPr>
                <w:rFonts w:hint="eastAsia" w:ascii="仿宋_GB2312" w:hAnsi="仿宋_GB2312" w:eastAsia="仿宋_GB2312" w:cs="仿宋_GB2312"/>
                <w:spacing w:val="-52"/>
                <w:sz w:val="28"/>
                <w:szCs w:val="28"/>
              </w:rPr>
              <w:t xml:space="preserve"> </w:t>
            </w:r>
            <w:r>
              <w:rPr>
                <w:rFonts w:hint="eastAsia" w:ascii="仿宋_GB2312" w:hAnsi="仿宋_GB2312" w:eastAsia="仿宋_GB2312" w:cs="仿宋_GB2312"/>
                <w:spacing w:val="13"/>
                <w:sz w:val="28"/>
                <w:szCs w:val="28"/>
              </w:rPr>
              <w:t>量</w:t>
            </w:r>
            <w:r>
              <w:rPr>
                <w:rFonts w:hint="eastAsia" w:ascii="仿宋_GB2312" w:hAnsi="仿宋_GB2312" w:eastAsia="仿宋_GB2312" w:cs="仿宋_GB2312"/>
                <w:spacing w:val="-51"/>
                <w:sz w:val="28"/>
                <w:szCs w:val="28"/>
              </w:rPr>
              <w:t xml:space="preserve"> </w:t>
            </w:r>
            <w:r>
              <w:rPr>
                <w:rFonts w:hint="eastAsia" w:ascii="仿宋_GB2312" w:hAnsi="仿宋_GB2312" w:eastAsia="仿宋_GB2312" w:cs="仿宋_GB2312"/>
                <w:spacing w:val="13"/>
                <w:sz w:val="28"/>
                <w:szCs w:val="28"/>
              </w:rPr>
              <w:t>基</w:t>
            </w:r>
            <w:r>
              <w:rPr>
                <w:rFonts w:hint="eastAsia" w:ascii="仿宋_GB2312" w:hAnsi="仿宋_GB2312" w:eastAsia="仿宋_GB2312" w:cs="仿宋_GB2312"/>
                <w:spacing w:val="-51"/>
                <w:sz w:val="28"/>
                <w:szCs w:val="28"/>
              </w:rPr>
              <w:t xml:space="preserve"> </w:t>
            </w:r>
            <w:r>
              <w:rPr>
                <w:rFonts w:hint="eastAsia" w:ascii="仿宋_GB2312" w:hAnsi="仿宋_GB2312" w:eastAsia="仿宋_GB2312" w:cs="仿宋_GB2312"/>
                <w:spacing w:val="13"/>
                <w:sz w:val="28"/>
                <w:szCs w:val="28"/>
              </w:rPr>
              <w:t>准</w:t>
            </w:r>
          </w:p>
        </w:tc>
        <w:tc>
          <w:tcPr>
            <w:tcW w:w="1119" w:type="dxa"/>
            <w:vAlign w:val="top"/>
          </w:tcPr>
          <w:p>
            <w:pPr>
              <w:pStyle w:val="7"/>
              <w:spacing w:before="116" w:line="228" w:lineRule="auto"/>
              <w:ind w:left="33" w:right="16" w:firstLine="1"/>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8"/>
                <w:sz w:val="24"/>
                <w:szCs w:val="24"/>
              </w:rPr>
              <w:t>公众投诉上</w:t>
            </w:r>
            <w:r>
              <w:rPr>
                <w:rFonts w:hint="eastAsia" w:ascii="仿宋_GB2312" w:hAnsi="仿宋_GB2312" w:eastAsia="仿宋_GB2312" w:cs="仿宋_GB2312"/>
                <w:sz w:val="24"/>
                <w:szCs w:val="24"/>
              </w:rPr>
              <w:t>访</w:t>
            </w:r>
          </w:p>
        </w:tc>
        <w:tc>
          <w:tcPr>
            <w:tcW w:w="1635" w:type="dxa"/>
            <w:vAlign w:val="top"/>
          </w:tcPr>
          <w:p>
            <w:pPr>
              <w:pStyle w:val="7"/>
              <w:spacing w:before="218" w:line="222" w:lineRule="auto"/>
              <w:ind w:left="204"/>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一次有效投诉</w:t>
            </w:r>
          </w:p>
        </w:tc>
        <w:tc>
          <w:tcPr>
            <w:tcW w:w="1710" w:type="dxa"/>
            <w:vAlign w:val="top"/>
          </w:tcPr>
          <w:p>
            <w:pPr>
              <w:pStyle w:val="7"/>
              <w:spacing w:before="218" w:line="222"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两次有效投诉</w:t>
            </w:r>
          </w:p>
        </w:tc>
        <w:tc>
          <w:tcPr>
            <w:tcW w:w="2445" w:type="dxa"/>
            <w:vAlign w:val="top"/>
          </w:tcPr>
          <w:p>
            <w:pPr>
              <w:pStyle w:val="7"/>
              <w:spacing w:before="218" w:line="222"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三次以上有效投诉</w:t>
            </w:r>
          </w:p>
        </w:tc>
        <w:tc>
          <w:tcPr>
            <w:tcW w:w="1991" w:type="dxa"/>
            <w:vAlign w:val="top"/>
          </w:tcPr>
          <w:p>
            <w:pPr>
              <w:pStyle w:val="7"/>
              <w:spacing w:before="218" w:line="222" w:lineRule="auto"/>
              <w:ind w:left="111"/>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造成群体上访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1" w:hRule="atLeast"/>
        </w:trPr>
        <w:tc>
          <w:tcPr>
            <w:tcW w:w="800" w:type="dxa"/>
            <w:vMerge w:val="continue"/>
            <w:tcBorders>
              <w:top w:val="nil"/>
              <w:bottom w:val="nil"/>
            </w:tcBorders>
            <w:textDirection w:val="tbRlV"/>
            <w:vAlign w:val="top"/>
          </w:tcPr>
          <w:p>
            <w:pPr>
              <w:rPr>
                <w:rFonts w:hint="eastAsia" w:ascii="仿宋_GB2312" w:hAnsi="仿宋_GB2312" w:eastAsia="仿宋_GB2312" w:cs="仿宋_GB2312"/>
                <w:sz w:val="20"/>
                <w:szCs w:val="20"/>
              </w:rPr>
            </w:pPr>
          </w:p>
        </w:tc>
        <w:tc>
          <w:tcPr>
            <w:tcW w:w="1119" w:type="dxa"/>
            <w:vAlign w:val="top"/>
          </w:tcPr>
          <w:p>
            <w:pPr>
              <w:pStyle w:val="7"/>
              <w:spacing w:before="219" w:line="223" w:lineRule="auto"/>
              <w:ind w:left="44"/>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区域影响</w:t>
            </w:r>
          </w:p>
        </w:tc>
        <w:tc>
          <w:tcPr>
            <w:tcW w:w="1635" w:type="dxa"/>
            <w:vAlign w:val="top"/>
          </w:tcPr>
          <w:p>
            <w:pPr>
              <w:pStyle w:val="7"/>
              <w:spacing w:before="218" w:line="222" w:lineRule="auto"/>
              <w:ind w:left="366"/>
              <w:jc w:val="both"/>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县级纠纷</w:t>
            </w:r>
          </w:p>
        </w:tc>
        <w:tc>
          <w:tcPr>
            <w:tcW w:w="1710" w:type="dxa"/>
            <w:vAlign w:val="top"/>
          </w:tcPr>
          <w:p>
            <w:pPr>
              <w:pStyle w:val="7"/>
              <w:spacing w:before="218" w:line="222"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跨县纠纷</w:t>
            </w:r>
          </w:p>
        </w:tc>
        <w:tc>
          <w:tcPr>
            <w:tcW w:w="2445" w:type="dxa"/>
            <w:vAlign w:val="top"/>
          </w:tcPr>
          <w:p>
            <w:pPr>
              <w:pStyle w:val="7"/>
              <w:spacing w:before="218" w:line="222"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跨市纠纷</w:t>
            </w:r>
          </w:p>
        </w:tc>
        <w:tc>
          <w:tcPr>
            <w:tcW w:w="1991" w:type="dxa"/>
            <w:vAlign w:val="top"/>
          </w:tcPr>
          <w:p>
            <w:pPr>
              <w:pStyle w:val="7"/>
              <w:spacing w:before="118" w:line="221" w:lineRule="auto"/>
              <w:ind w:left="191"/>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跨省（直辖</w:t>
            </w:r>
            <w:r>
              <w:rPr>
                <w:rFonts w:hint="eastAsia" w:ascii="仿宋_GB2312" w:hAnsi="仿宋_GB2312" w:eastAsia="仿宋_GB2312" w:cs="仿宋_GB2312"/>
                <w:spacing w:val="-2"/>
                <w:sz w:val="24"/>
                <w:szCs w:val="24"/>
              </w:rPr>
              <w:t>市）纠纷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1" w:hRule="atLeast"/>
        </w:trPr>
        <w:tc>
          <w:tcPr>
            <w:tcW w:w="800" w:type="dxa"/>
            <w:vMerge w:val="continue"/>
            <w:tcBorders>
              <w:top w:val="nil"/>
              <w:bottom w:val="nil"/>
            </w:tcBorders>
            <w:textDirection w:val="tbRlV"/>
            <w:vAlign w:val="top"/>
          </w:tcPr>
          <w:p>
            <w:pPr>
              <w:rPr>
                <w:rFonts w:hint="eastAsia" w:ascii="仿宋_GB2312" w:hAnsi="仿宋_GB2312" w:eastAsia="仿宋_GB2312" w:cs="仿宋_GB2312"/>
                <w:sz w:val="20"/>
                <w:szCs w:val="20"/>
              </w:rPr>
            </w:pPr>
          </w:p>
        </w:tc>
        <w:tc>
          <w:tcPr>
            <w:tcW w:w="1119" w:type="dxa"/>
            <w:vAlign w:val="top"/>
          </w:tcPr>
          <w:p>
            <w:pPr>
              <w:pStyle w:val="7"/>
              <w:spacing w:before="119" w:line="228" w:lineRule="auto"/>
              <w:ind w:left="33" w:right="16"/>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8"/>
                <w:sz w:val="24"/>
                <w:szCs w:val="24"/>
              </w:rPr>
              <w:t>公私财产损</w:t>
            </w:r>
            <w:r>
              <w:rPr>
                <w:rFonts w:hint="eastAsia" w:ascii="仿宋_GB2312" w:hAnsi="仿宋_GB2312" w:eastAsia="仿宋_GB2312" w:cs="仿宋_GB2312"/>
                <w:spacing w:val="-1"/>
                <w:sz w:val="24"/>
                <w:szCs w:val="24"/>
              </w:rPr>
              <w:t>失/违法所</w:t>
            </w:r>
            <w:r>
              <w:rPr>
                <w:rFonts w:hint="eastAsia" w:ascii="仿宋_GB2312" w:hAnsi="仿宋_GB2312" w:eastAsia="仿宋_GB2312" w:cs="仿宋_GB2312"/>
                <w:spacing w:val="-1"/>
                <w:sz w:val="24"/>
                <w:szCs w:val="24"/>
                <w:lang w:eastAsia="zh-CN"/>
              </w:rPr>
              <w:t>得</w:t>
            </w:r>
          </w:p>
        </w:tc>
        <w:tc>
          <w:tcPr>
            <w:tcW w:w="1635" w:type="dxa"/>
            <w:vAlign w:val="center"/>
          </w:tcPr>
          <w:p>
            <w:pPr>
              <w:pStyle w:val="7"/>
              <w:spacing w:before="221" w:line="222"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10万元以下</w:t>
            </w:r>
          </w:p>
        </w:tc>
        <w:tc>
          <w:tcPr>
            <w:tcW w:w="1710" w:type="dxa"/>
            <w:vAlign w:val="center"/>
          </w:tcPr>
          <w:p>
            <w:pPr>
              <w:pStyle w:val="7"/>
              <w:spacing w:before="221" w:line="22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10万元-50万元</w:t>
            </w:r>
          </w:p>
        </w:tc>
        <w:tc>
          <w:tcPr>
            <w:tcW w:w="2445" w:type="dxa"/>
            <w:vAlign w:val="center"/>
          </w:tcPr>
          <w:p>
            <w:pPr>
              <w:pStyle w:val="7"/>
              <w:spacing w:before="221" w:line="22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50万元-100万元</w:t>
            </w:r>
          </w:p>
        </w:tc>
        <w:tc>
          <w:tcPr>
            <w:tcW w:w="1991" w:type="dxa"/>
            <w:vAlign w:val="center"/>
          </w:tcPr>
          <w:p>
            <w:pPr>
              <w:pStyle w:val="7"/>
              <w:spacing w:before="221" w:line="225" w:lineRule="auto"/>
              <w:ind w:left="158"/>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100万元以上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trPr>
        <w:tc>
          <w:tcPr>
            <w:tcW w:w="800" w:type="dxa"/>
            <w:vMerge w:val="continue"/>
            <w:tcBorders>
              <w:top w:val="nil"/>
              <w:bottom w:val="nil"/>
            </w:tcBorders>
            <w:textDirection w:val="tbRlV"/>
            <w:vAlign w:val="top"/>
          </w:tcPr>
          <w:p>
            <w:pPr>
              <w:rPr>
                <w:rFonts w:hint="eastAsia" w:ascii="仿宋_GB2312" w:hAnsi="仿宋_GB2312" w:eastAsia="仿宋_GB2312" w:cs="仿宋_GB2312"/>
                <w:sz w:val="20"/>
                <w:szCs w:val="20"/>
              </w:rPr>
            </w:pPr>
          </w:p>
        </w:tc>
        <w:tc>
          <w:tcPr>
            <w:tcW w:w="1119" w:type="dxa"/>
            <w:vAlign w:val="top"/>
          </w:tcPr>
          <w:p>
            <w:pPr>
              <w:pStyle w:val="7"/>
              <w:spacing w:before="49" w:line="223" w:lineRule="auto"/>
              <w:ind w:left="31" w:right="16" w:firstLine="1"/>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减少防治污染设施运行支出</w:t>
            </w:r>
          </w:p>
        </w:tc>
        <w:tc>
          <w:tcPr>
            <w:tcW w:w="1635" w:type="dxa"/>
            <w:vAlign w:val="center"/>
          </w:tcPr>
          <w:p>
            <w:pPr>
              <w:pStyle w:val="7"/>
              <w:spacing w:before="251" w:line="222"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10万元以下</w:t>
            </w:r>
          </w:p>
        </w:tc>
        <w:tc>
          <w:tcPr>
            <w:tcW w:w="1710" w:type="dxa"/>
            <w:vAlign w:val="center"/>
          </w:tcPr>
          <w:p>
            <w:pPr>
              <w:pStyle w:val="7"/>
              <w:spacing w:before="251" w:line="22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10万元-50万元</w:t>
            </w:r>
          </w:p>
        </w:tc>
        <w:tc>
          <w:tcPr>
            <w:tcW w:w="2445" w:type="dxa"/>
            <w:vAlign w:val="center"/>
          </w:tcPr>
          <w:p>
            <w:pPr>
              <w:pStyle w:val="7"/>
              <w:spacing w:before="251" w:line="22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50万元-100万元</w:t>
            </w:r>
          </w:p>
        </w:tc>
        <w:tc>
          <w:tcPr>
            <w:tcW w:w="1991" w:type="dxa"/>
            <w:vAlign w:val="center"/>
          </w:tcPr>
          <w:p>
            <w:pPr>
              <w:pStyle w:val="7"/>
              <w:spacing w:before="251" w:line="225" w:lineRule="auto"/>
              <w:ind w:left="158"/>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100万元以上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66" w:hRule="atLeast"/>
        </w:trPr>
        <w:tc>
          <w:tcPr>
            <w:tcW w:w="800" w:type="dxa"/>
            <w:vMerge w:val="continue"/>
            <w:tcBorders>
              <w:top w:val="nil"/>
              <w:bottom w:val="nil"/>
            </w:tcBorders>
            <w:textDirection w:val="tbRlV"/>
            <w:vAlign w:val="top"/>
          </w:tcPr>
          <w:p>
            <w:pPr>
              <w:rPr>
                <w:rFonts w:hint="eastAsia" w:ascii="仿宋_GB2312" w:hAnsi="仿宋_GB2312" w:eastAsia="仿宋_GB2312" w:cs="仿宋_GB2312"/>
                <w:sz w:val="20"/>
                <w:szCs w:val="20"/>
              </w:rPr>
            </w:pPr>
          </w:p>
        </w:tc>
        <w:tc>
          <w:tcPr>
            <w:tcW w:w="1119" w:type="dxa"/>
            <w:vAlign w:val="top"/>
          </w:tcPr>
          <w:p>
            <w:pPr>
              <w:spacing w:line="273" w:lineRule="auto"/>
              <w:rPr>
                <w:rFonts w:hint="eastAsia" w:ascii="仿宋_GB2312" w:hAnsi="仿宋_GB2312" w:eastAsia="仿宋_GB2312" w:cs="仿宋_GB2312"/>
                <w:sz w:val="24"/>
                <w:szCs w:val="24"/>
              </w:rPr>
            </w:pPr>
          </w:p>
          <w:p>
            <w:pPr>
              <w:spacing w:line="274" w:lineRule="auto"/>
              <w:jc w:val="both"/>
              <w:rPr>
                <w:rFonts w:hint="eastAsia" w:ascii="仿宋_GB2312" w:hAnsi="仿宋_GB2312" w:eastAsia="仿宋_GB2312" w:cs="仿宋_GB2312"/>
                <w:sz w:val="24"/>
                <w:szCs w:val="24"/>
              </w:rPr>
            </w:pPr>
          </w:p>
          <w:p>
            <w:pPr>
              <w:pStyle w:val="7"/>
              <w:spacing w:before="52" w:line="226" w:lineRule="auto"/>
              <w:ind w:left="40" w:right="16" w:hanging="8"/>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对人和动物的不利影响</w:t>
            </w:r>
          </w:p>
        </w:tc>
        <w:tc>
          <w:tcPr>
            <w:tcW w:w="1635" w:type="dxa"/>
            <w:vAlign w:val="top"/>
          </w:tcPr>
          <w:p>
            <w:pPr>
              <w:spacing w:line="322" w:lineRule="auto"/>
              <w:rPr>
                <w:rFonts w:hint="eastAsia" w:ascii="仿宋_GB2312" w:hAnsi="仿宋_GB2312" w:eastAsia="仿宋_GB2312" w:cs="仿宋_GB2312"/>
                <w:sz w:val="24"/>
                <w:szCs w:val="24"/>
              </w:rPr>
            </w:pPr>
          </w:p>
          <w:p>
            <w:pPr>
              <w:spacing w:line="323" w:lineRule="auto"/>
              <w:rPr>
                <w:rFonts w:hint="eastAsia" w:ascii="仿宋_GB2312" w:hAnsi="仿宋_GB2312" w:eastAsia="仿宋_GB2312" w:cs="仿宋_GB2312"/>
                <w:sz w:val="24"/>
                <w:szCs w:val="24"/>
              </w:rPr>
            </w:pPr>
          </w:p>
          <w:p>
            <w:pPr>
              <w:pStyle w:val="7"/>
              <w:spacing w:before="52" w:line="222" w:lineRule="auto"/>
              <w:ind w:left="4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公众感觉</w:t>
            </w:r>
          </w:p>
          <w:p>
            <w:pPr>
              <w:pStyle w:val="7"/>
              <w:spacing w:before="52" w:line="222" w:lineRule="auto"/>
              <w:ind w:left="4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轻度不适</w:t>
            </w:r>
          </w:p>
        </w:tc>
        <w:tc>
          <w:tcPr>
            <w:tcW w:w="1710" w:type="dxa"/>
            <w:vAlign w:val="top"/>
          </w:tcPr>
          <w:p>
            <w:pPr>
              <w:spacing w:line="322" w:lineRule="auto"/>
              <w:rPr>
                <w:rFonts w:hint="eastAsia" w:ascii="仿宋_GB2312" w:hAnsi="仿宋_GB2312" w:eastAsia="仿宋_GB2312" w:cs="仿宋_GB2312"/>
                <w:sz w:val="24"/>
                <w:szCs w:val="24"/>
              </w:rPr>
            </w:pPr>
          </w:p>
          <w:p>
            <w:pPr>
              <w:spacing w:line="322" w:lineRule="auto"/>
              <w:rPr>
                <w:rFonts w:hint="eastAsia" w:ascii="仿宋_GB2312" w:hAnsi="仿宋_GB2312" w:eastAsia="仿宋_GB2312" w:cs="仿宋_GB2312"/>
                <w:sz w:val="24"/>
                <w:szCs w:val="24"/>
              </w:rPr>
            </w:pPr>
          </w:p>
          <w:p>
            <w:pPr>
              <w:pStyle w:val="7"/>
              <w:spacing w:before="52" w:line="224"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公众感觉</w:t>
            </w:r>
          </w:p>
          <w:p>
            <w:pPr>
              <w:pStyle w:val="7"/>
              <w:spacing w:before="52" w:line="224"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严重不适</w:t>
            </w:r>
          </w:p>
        </w:tc>
        <w:tc>
          <w:tcPr>
            <w:tcW w:w="2445" w:type="dxa"/>
            <w:vAlign w:val="top"/>
          </w:tcPr>
          <w:p>
            <w:pPr>
              <w:spacing w:line="274" w:lineRule="auto"/>
              <w:rPr>
                <w:rFonts w:hint="eastAsia" w:ascii="仿宋_GB2312" w:hAnsi="仿宋_GB2312" w:eastAsia="仿宋_GB2312" w:cs="仿宋_GB2312"/>
                <w:sz w:val="24"/>
                <w:szCs w:val="24"/>
              </w:rPr>
            </w:pPr>
          </w:p>
          <w:p>
            <w:pPr>
              <w:spacing w:line="274" w:lineRule="auto"/>
              <w:jc w:val="both"/>
              <w:rPr>
                <w:rFonts w:hint="eastAsia" w:ascii="仿宋_GB2312" w:hAnsi="仿宋_GB2312" w:eastAsia="仿宋_GB2312" w:cs="仿宋_GB2312"/>
                <w:sz w:val="24"/>
                <w:szCs w:val="24"/>
              </w:rPr>
            </w:pPr>
          </w:p>
          <w:p>
            <w:pPr>
              <w:pStyle w:val="7"/>
              <w:spacing w:before="52" w:line="225" w:lineRule="auto"/>
              <w:ind w:left="39" w:right="46"/>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疏散转移群众500人以下、5人以下中毒；</w:t>
            </w:r>
            <w:r>
              <w:rPr>
                <w:rFonts w:hint="eastAsia" w:ascii="仿宋_GB2312" w:hAnsi="仿宋_GB2312" w:eastAsia="仿宋_GB2312" w:cs="仿宋_GB2312"/>
                <w:spacing w:val="10"/>
                <w:sz w:val="24"/>
                <w:szCs w:val="24"/>
              </w:rPr>
              <w:t xml:space="preserve"> </w:t>
            </w:r>
            <w:r>
              <w:rPr>
                <w:rFonts w:hint="eastAsia" w:ascii="仿宋_GB2312" w:hAnsi="仿宋_GB2312" w:eastAsia="仿宋_GB2312" w:cs="仿宋_GB2312"/>
                <w:spacing w:val="1"/>
                <w:sz w:val="24"/>
                <w:szCs w:val="24"/>
              </w:rPr>
              <w:t>导致一般动物死亡</w:t>
            </w:r>
          </w:p>
        </w:tc>
        <w:tc>
          <w:tcPr>
            <w:tcW w:w="1991" w:type="dxa"/>
            <w:vAlign w:val="top"/>
          </w:tcPr>
          <w:p>
            <w:pPr>
              <w:spacing w:line="290" w:lineRule="auto"/>
              <w:jc w:val="both"/>
              <w:rPr>
                <w:rFonts w:hint="eastAsia" w:ascii="仿宋_GB2312" w:hAnsi="仿宋_GB2312" w:eastAsia="仿宋_GB2312" w:cs="仿宋_GB2312"/>
                <w:sz w:val="24"/>
                <w:szCs w:val="24"/>
              </w:rPr>
            </w:pPr>
          </w:p>
          <w:p>
            <w:pPr>
              <w:pStyle w:val="7"/>
              <w:spacing w:before="39" w:line="237" w:lineRule="auto"/>
              <w:ind w:left="36" w:right="10" w:firstLine="4"/>
              <w:jc w:val="both"/>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疏散转移群众</w:t>
            </w:r>
            <w:r>
              <w:rPr>
                <w:rFonts w:hint="eastAsia" w:ascii="仿宋_GB2312" w:hAnsi="仿宋_GB2312" w:eastAsia="仿宋_GB2312" w:cs="仿宋_GB2312"/>
                <w:spacing w:val="-28"/>
                <w:sz w:val="24"/>
                <w:szCs w:val="24"/>
              </w:rPr>
              <w:t xml:space="preserve"> </w:t>
            </w:r>
            <w:r>
              <w:rPr>
                <w:rFonts w:hint="eastAsia" w:ascii="仿宋_GB2312" w:hAnsi="仿宋_GB2312" w:eastAsia="仿宋_GB2312" w:cs="仿宋_GB2312"/>
                <w:spacing w:val="-6"/>
                <w:sz w:val="24"/>
                <w:szCs w:val="24"/>
              </w:rPr>
              <w:t>500-</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pacing w:val="-6"/>
                <w:sz w:val="24"/>
                <w:szCs w:val="24"/>
              </w:rPr>
              <w:t>4000人、5-20人中</w:t>
            </w:r>
            <w:r>
              <w:rPr>
                <w:rFonts w:hint="eastAsia" w:ascii="仿宋_GB2312" w:hAnsi="仿宋_GB2312" w:eastAsia="仿宋_GB2312" w:cs="仿宋_GB2312"/>
                <w:spacing w:val="3"/>
                <w:sz w:val="24"/>
                <w:szCs w:val="24"/>
              </w:rPr>
              <w:t>毒</w:t>
            </w:r>
            <w:r>
              <w:rPr>
                <w:rFonts w:hint="eastAsia" w:ascii="仿宋_GB2312" w:hAnsi="仿宋_GB2312" w:eastAsia="仿宋_GB2312" w:cs="仿宋_GB2312"/>
                <w:spacing w:val="-26"/>
                <w:sz w:val="24"/>
                <w:szCs w:val="24"/>
              </w:rPr>
              <w:t xml:space="preserve"> </w:t>
            </w:r>
            <w:r>
              <w:rPr>
                <w:rFonts w:hint="eastAsia" w:ascii="仿宋_GB2312" w:hAnsi="仿宋_GB2312" w:eastAsia="仿宋_GB2312" w:cs="仿宋_GB2312"/>
                <w:spacing w:val="3"/>
                <w:sz w:val="24"/>
                <w:szCs w:val="24"/>
              </w:rPr>
              <w:t>，致1-2人轻伤或残疾；导致国家一、二级保护动物数量减</w:t>
            </w:r>
            <w:r>
              <w:rPr>
                <w:rFonts w:hint="eastAsia" w:ascii="仿宋_GB2312" w:hAnsi="仿宋_GB2312" w:eastAsia="仿宋_GB2312" w:cs="仿宋_GB2312"/>
                <w:spacing w:val="-1"/>
                <w:sz w:val="24"/>
                <w:szCs w:val="24"/>
              </w:rPr>
              <w:t>少或死亡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6" w:hRule="atLeast"/>
        </w:trPr>
        <w:tc>
          <w:tcPr>
            <w:tcW w:w="800" w:type="dxa"/>
            <w:vMerge w:val="continue"/>
            <w:tcBorders>
              <w:top w:val="nil"/>
            </w:tcBorders>
            <w:textDirection w:val="tbRlV"/>
            <w:vAlign w:val="top"/>
          </w:tcPr>
          <w:p>
            <w:pPr>
              <w:rPr>
                <w:rFonts w:hint="eastAsia" w:ascii="仿宋_GB2312" w:hAnsi="仿宋_GB2312" w:eastAsia="仿宋_GB2312" w:cs="仿宋_GB2312"/>
                <w:sz w:val="20"/>
                <w:szCs w:val="20"/>
              </w:rPr>
            </w:pPr>
          </w:p>
        </w:tc>
        <w:tc>
          <w:tcPr>
            <w:tcW w:w="1119" w:type="dxa"/>
            <w:vAlign w:val="top"/>
          </w:tcPr>
          <w:p>
            <w:pPr>
              <w:spacing w:line="284" w:lineRule="auto"/>
              <w:jc w:val="both"/>
              <w:rPr>
                <w:rFonts w:hint="eastAsia" w:ascii="仿宋_GB2312" w:hAnsi="仿宋_GB2312" w:eastAsia="仿宋_GB2312" w:cs="仿宋_GB2312"/>
                <w:sz w:val="24"/>
                <w:szCs w:val="24"/>
              </w:rPr>
            </w:pPr>
          </w:p>
          <w:p>
            <w:pPr>
              <w:spacing w:line="285" w:lineRule="auto"/>
              <w:jc w:val="both"/>
              <w:rPr>
                <w:rFonts w:hint="eastAsia" w:ascii="仿宋_GB2312" w:hAnsi="仿宋_GB2312" w:eastAsia="仿宋_GB2312" w:cs="仿宋_GB2312"/>
                <w:sz w:val="24"/>
                <w:szCs w:val="24"/>
              </w:rPr>
            </w:pPr>
          </w:p>
          <w:p>
            <w:pPr>
              <w:pStyle w:val="7"/>
              <w:spacing w:before="52" w:line="228" w:lineRule="auto"/>
              <w:ind w:left="30" w:right="16" w:firstLine="2"/>
              <w:jc w:val="both"/>
              <w:rPr>
                <w:rFonts w:hint="eastAsia" w:ascii="仿宋_GB2312" w:hAnsi="仿宋_GB2312" w:eastAsia="仿宋_GB2312" w:cs="仿宋_GB2312"/>
                <w:sz w:val="24"/>
                <w:szCs w:val="24"/>
              </w:rPr>
            </w:pPr>
            <w:r>
              <w:rPr>
                <w:rFonts w:hint="eastAsia" w:ascii="仿宋_GB2312" w:hAnsi="仿宋_GB2312" w:eastAsia="仿宋_GB2312" w:cs="仿宋_GB2312"/>
                <w:spacing w:val="28"/>
                <w:sz w:val="24"/>
                <w:szCs w:val="24"/>
              </w:rPr>
              <w:t>土壤及植被</w:t>
            </w:r>
            <w:r>
              <w:rPr>
                <w:rFonts w:hint="eastAsia" w:ascii="仿宋_GB2312" w:hAnsi="仿宋_GB2312" w:eastAsia="仿宋_GB2312" w:cs="仿宋_GB2312"/>
                <w:spacing w:val="-4"/>
                <w:sz w:val="24"/>
                <w:szCs w:val="24"/>
              </w:rPr>
              <w:t>破坏</w:t>
            </w:r>
          </w:p>
        </w:tc>
        <w:tc>
          <w:tcPr>
            <w:tcW w:w="1635" w:type="dxa"/>
            <w:vAlign w:val="center"/>
          </w:tcPr>
          <w:p>
            <w:pPr>
              <w:pStyle w:val="7"/>
              <w:spacing w:before="119" w:line="238" w:lineRule="auto"/>
              <w:ind w:right="11"/>
              <w:jc w:val="both"/>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致使基本农田</w:t>
            </w:r>
            <w:r>
              <w:rPr>
                <w:rFonts w:hint="eastAsia" w:ascii="仿宋_GB2312" w:hAnsi="仿宋_GB2312" w:eastAsia="仿宋_GB2312" w:cs="仿宋_GB2312"/>
                <w:spacing w:val="-21"/>
                <w:sz w:val="24"/>
                <w:szCs w:val="24"/>
              </w:rPr>
              <w:t xml:space="preserve"> </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32"/>
                <w:sz w:val="24"/>
                <w:szCs w:val="24"/>
              </w:rPr>
              <w:t xml:space="preserve"> </w:t>
            </w:r>
            <w:r>
              <w:rPr>
                <w:rFonts w:hint="eastAsia" w:ascii="仿宋_GB2312" w:hAnsi="仿宋_GB2312" w:eastAsia="仿宋_GB2312" w:cs="仿宋_GB2312"/>
                <w:spacing w:val="4"/>
                <w:sz w:val="24"/>
                <w:szCs w:val="24"/>
              </w:rPr>
              <w:t>防护林</w:t>
            </w:r>
            <w:r>
              <w:rPr>
                <w:rFonts w:hint="eastAsia" w:ascii="仿宋_GB2312" w:hAnsi="仿宋_GB2312" w:eastAsia="仿宋_GB2312" w:cs="仿宋_GB2312"/>
                <w:spacing w:val="5"/>
                <w:sz w:val="24"/>
                <w:szCs w:val="24"/>
              </w:rPr>
              <w:t>地</w:t>
            </w:r>
            <w:r>
              <w:rPr>
                <w:rFonts w:hint="eastAsia" w:ascii="仿宋_GB2312" w:hAnsi="仿宋_GB2312" w:eastAsia="仿宋_GB2312" w:cs="仿宋_GB2312"/>
                <w:spacing w:val="-30"/>
                <w:sz w:val="24"/>
                <w:szCs w:val="24"/>
              </w:rPr>
              <w:t xml:space="preserve"> </w:t>
            </w:r>
            <w:r>
              <w:rPr>
                <w:rFonts w:hint="eastAsia" w:ascii="仿宋_GB2312" w:hAnsi="仿宋_GB2312" w:eastAsia="仿宋_GB2312" w:cs="仿宋_GB2312"/>
                <w:spacing w:val="5"/>
                <w:sz w:val="24"/>
                <w:szCs w:val="24"/>
              </w:rPr>
              <w:t>、特种用途林地1亩</w:t>
            </w:r>
            <w:r>
              <w:rPr>
                <w:rFonts w:hint="eastAsia" w:ascii="仿宋_GB2312" w:hAnsi="仿宋_GB2312" w:eastAsia="仿宋_GB2312" w:cs="仿宋_GB2312"/>
                <w:spacing w:val="4"/>
                <w:sz w:val="24"/>
                <w:szCs w:val="24"/>
              </w:rPr>
              <w:t>以下，其他农用地2亩以下，其他土地3亩以下基</w:t>
            </w:r>
            <w:r>
              <w:rPr>
                <w:rFonts w:hint="eastAsia" w:ascii="仿宋_GB2312" w:hAnsi="仿宋_GB2312" w:eastAsia="仿宋_GB2312" w:cs="仿宋_GB2312"/>
                <w:spacing w:val="10"/>
                <w:sz w:val="24"/>
                <w:szCs w:val="24"/>
              </w:rPr>
              <w:t>本功能丧失或者遭受永</w:t>
            </w:r>
            <w:r>
              <w:rPr>
                <w:rFonts w:hint="eastAsia" w:ascii="仿宋_GB2312" w:hAnsi="仿宋_GB2312" w:eastAsia="仿宋_GB2312" w:cs="仿宋_GB2312"/>
                <w:spacing w:val="8"/>
                <w:sz w:val="24"/>
                <w:szCs w:val="24"/>
              </w:rPr>
              <w:t xml:space="preserve"> </w:t>
            </w:r>
            <w:r>
              <w:rPr>
                <w:rFonts w:hint="eastAsia" w:ascii="仿宋_GB2312" w:hAnsi="仿宋_GB2312" w:eastAsia="仿宋_GB2312" w:cs="仿宋_GB2312"/>
                <w:spacing w:val="7"/>
                <w:sz w:val="24"/>
                <w:szCs w:val="24"/>
              </w:rPr>
              <w:t>久性破</w:t>
            </w:r>
            <w:r>
              <w:rPr>
                <w:rFonts w:hint="eastAsia" w:ascii="仿宋_GB2312" w:hAnsi="仿宋_GB2312" w:eastAsia="仿宋_GB2312" w:cs="仿宋_GB2312"/>
                <w:spacing w:val="7"/>
                <w:sz w:val="24"/>
                <w:szCs w:val="24"/>
                <w:lang w:eastAsia="zh-CN"/>
              </w:rPr>
              <w:t>坏</w:t>
            </w:r>
            <w:r>
              <w:rPr>
                <w:rFonts w:hint="eastAsia" w:ascii="仿宋_GB2312" w:hAnsi="仿宋_GB2312" w:eastAsia="仿宋_GB2312" w:cs="仿宋_GB2312"/>
                <w:spacing w:val="7"/>
                <w:sz w:val="24"/>
                <w:szCs w:val="24"/>
              </w:rPr>
              <w:t>；致使森林或</w:t>
            </w:r>
            <w:r>
              <w:rPr>
                <w:rFonts w:hint="eastAsia" w:ascii="仿宋_GB2312" w:hAnsi="仿宋_GB2312" w:eastAsia="仿宋_GB2312" w:cs="仿宋_GB2312"/>
                <w:spacing w:val="4"/>
                <w:sz w:val="24"/>
                <w:szCs w:val="24"/>
              </w:rPr>
              <w:t>其他林木死亡5立方米以下，或者幼树死亡100株</w:t>
            </w:r>
            <w:r>
              <w:rPr>
                <w:rFonts w:hint="eastAsia" w:ascii="仿宋_GB2312" w:hAnsi="仿宋_GB2312" w:eastAsia="仿宋_GB2312" w:cs="仿宋_GB2312"/>
                <w:spacing w:val="-2"/>
                <w:sz w:val="24"/>
                <w:szCs w:val="24"/>
              </w:rPr>
              <w:t>以</w:t>
            </w:r>
            <w:r>
              <w:rPr>
                <w:rFonts w:hint="eastAsia" w:ascii="仿宋_GB2312" w:hAnsi="仿宋_GB2312" w:eastAsia="仿宋_GB2312" w:cs="仿宋_GB2312"/>
                <w:spacing w:val="-2"/>
                <w:sz w:val="24"/>
                <w:szCs w:val="24"/>
                <w:lang w:eastAsia="zh-CN"/>
              </w:rPr>
              <w:t>下</w:t>
            </w:r>
            <w:r>
              <w:rPr>
                <w:rFonts w:hint="eastAsia" w:ascii="仿宋_GB2312" w:hAnsi="仿宋_GB2312" w:eastAsia="仿宋_GB2312" w:cs="仿宋_GB2312"/>
                <w:spacing w:val="-2"/>
                <w:sz w:val="24"/>
                <w:szCs w:val="24"/>
              </w:rPr>
              <w:t>的</w:t>
            </w:r>
          </w:p>
        </w:tc>
        <w:tc>
          <w:tcPr>
            <w:tcW w:w="1710" w:type="dxa"/>
            <w:vAlign w:val="top"/>
          </w:tcPr>
          <w:p>
            <w:pPr>
              <w:spacing w:line="389" w:lineRule="auto"/>
              <w:rPr>
                <w:rFonts w:hint="eastAsia" w:ascii="仿宋_GB2312" w:hAnsi="仿宋_GB2312" w:eastAsia="仿宋_GB2312" w:cs="仿宋_GB2312"/>
                <w:sz w:val="24"/>
                <w:szCs w:val="24"/>
              </w:rPr>
            </w:pPr>
          </w:p>
          <w:p>
            <w:pPr>
              <w:pStyle w:val="7"/>
              <w:spacing w:before="39" w:line="236" w:lineRule="auto"/>
              <w:ind w:left="31" w:right="6" w:firstLine="1"/>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致使基本农田、防护林地、特种用途林地2</w:t>
            </w:r>
            <w:r>
              <w:rPr>
                <w:rFonts w:hint="eastAsia" w:ascii="仿宋_GB2312" w:hAnsi="仿宋_GB2312" w:eastAsia="仿宋_GB2312" w:cs="仿宋_GB2312"/>
                <w:spacing w:val="8"/>
                <w:sz w:val="24"/>
                <w:szCs w:val="24"/>
              </w:rPr>
              <w:t xml:space="preserve"> </w:t>
            </w:r>
            <w:r>
              <w:rPr>
                <w:rFonts w:hint="eastAsia" w:ascii="仿宋_GB2312" w:hAnsi="仿宋_GB2312" w:eastAsia="仿宋_GB2312" w:cs="仿宋_GB2312"/>
                <w:spacing w:val="1"/>
                <w:sz w:val="24"/>
                <w:szCs w:val="24"/>
              </w:rPr>
              <w:t>亩</w:t>
            </w:r>
            <w:r>
              <w:rPr>
                <w:rFonts w:hint="eastAsia" w:ascii="仿宋_GB2312" w:hAnsi="仿宋_GB2312" w:eastAsia="仿宋_GB2312" w:cs="仿宋_GB2312"/>
                <w:spacing w:val="29"/>
                <w:sz w:val="24"/>
                <w:szCs w:val="24"/>
              </w:rPr>
              <w:t xml:space="preserve"> </w:t>
            </w:r>
            <w:r>
              <w:rPr>
                <w:rFonts w:hint="eastAsia" w:ascii="仿宋_GB2312" w:hAnsi="仿宋_GB2312" w:eastAsia="仿宋_GB2312" w:cs="仿宋_GB2312"/>
                <w:spacing w:val="1"/>
                <w:sz w:val="24"/>
                <w:szCs w:val="24"/>
              </w:rPr>
              <w:t>以下，其他农用地3亩以下，其他土地5</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pacing w:val="13"/>
                <w:sz w:val="24"/>
                <w:szCs w:val="24"/>
              </w:rPr>
              <w:t>亩以下基本功能丧失或者遭受永久性破</w:t>
            </w:r>
            <w:r>
              <w:rPr>
                <w:rFonts w:hint="eastAsia" w:ascii="仿宋_GB2312" w:hAnsi="仿宋_GB2312" w:eastAsia="仿宋_GB2312" w:cs="仿宋_GB2312"/>
                <w:spacing w:val="8"/>
                <w:sz w:val="24"/>
                <w:szCs w:val="24"/>
              </w:rPr>
              <w:t xml:space="preserve"> </w:t>
            </w:r>
            <w:r>
              <w:rPr>
                <w:rFonts w:hint="eastAsia" w:ascii="仿宋_GB2312" w:hAnsi="仿宋_GB2312" w:eastAsia="仿宋_GB2312" w:cs="仿宋_GB2312"/>
                <w:spacing w:val="5"/>
                <w:sz w:val="24"/>
                <w:szCs w:val="24"/>
              </w:rPr>
              <w:t>坏；致使森林或其他林木死亡10立方米以</w:t>
            </w:r>
            <w:r>
              <w:rPr>
                <w:rFonts w:hint="eastAsia" w:ascii="仿宋_GB2312" w:hAnsi="仿宋_GB2312" w:eastAsia="仿宋_GB2312" w:cs="仿宋_GB2312"/>
                <w:spacing w:val="-1"/>
                <w:sz w:val="24"/>
                <w:szCs w:val="24"/>
              </w:rPr>
              <w:t>下，或者幼树死亡500株以下的</w:t>
            </w:r>
          </w:p>
        </w:tc>
        <w:tc>
          <w:tcPr>
            <w:tcW w:w="2445" w:type="dxa"/>
            <w:vAlign w:val="top"/>
          </w:tcPr>
          <w:p>
            <w:pPr>
              <w:spacing w:line="466" w:lineRule="auto"/>
              <w:rPr>
                <w:rFonts w:hint="eastAsia" w:ascii="仿宋_GB2312" w:hAnsi="仿宋_GB2312" w:eastAsia="仿宋_GB2312" w:cs="仿宋_GB2312"/>
                <w:sz w:val="24"/>
                <w:szCs w:val="24"/>
              </w:rPr>
            </w:pPr>
          </w:p>
          <w:p>
            <w:pPr>
              <w:pStyle w:val="7"/>
              <w:spacing w:before="39" w:line="235" w:lineRule="auto"/>
              <w:ind w:left="36" w:right="2"/>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致使基本农田、防护林地、特种用途林地 3亩以下，其</w:t>
            </w:r>
            <w:r>
              <w:rPr>
                <w:rFonts w:hint="eastAsia" w:ascii="仿宋_GB2312" w:hAnsi="仿宋_GB2312" w:eastAsia="仿宋_GB2312" w:cs="仿宋_GB2312"/>
                <w:spacing w:val="1"/>
                <w:sz w:val="24"/>
                <w:szCs w:val="24"/>
              </w:rPr>
              <w:t>他农用地5亩以下，其他土地10亩以下基本功能丧失或者</w:t>
            </w:r>
            <w:r>
              <w:rPr>
                <w:rFonts w:hint="eastAsia" w:ascii="仿宋_GB2312" w:hAnsi="仿宋_GB2312" w:eastAsia="仿宋_GB2312" w:cs="仿宋_GB2312"/>
                <w:spacing w:val="4"/>
                <w:sz w:val="24"/>
                <w:szCs w:val="24"/>
              </w:rPr>
              <w:t>遭受永久性破坏；致使森林或其他林木死亡20</w:t>
            </w:r>
            <w:r>
              <w:rPr>
                <w:rFonts w:hint="eastAsia" w:ascii="仿宋_GB2312" w:hAnsi="仿宋_GB2312" w:eastAsia="仿宋_GB2312" w:cs="仿宋_GB2312"/>
                <w:spacing w:val="3"/>
                <w:sz w:val="24"/>
                <w:szCs w:val="24"/>
              </w:rPr>
              <w:t>立方米以</w:t>
            </w:r>
            <w:r>
              <w:rPr>
                <w:rFonts w:hint="eastAsia" w:ascii="仿宋_GB2312" w:hAnsi="仿宋_GB2312" w:eastAsia="仿宋_GB2312" w:cs="仿宋_GB2312"/>
                <w:spacing w:val="-1"/>
                <w:sz w:val="24"/>
                <w:szCs w:val="24"/>
              </w:rPr>
              <w:t>下，或者幼树死亡1000株以下的</w:t>
            </w:r>
          </w:p>
        </w:tc>
        <w:tc>
          <w:tcPr>
            <w:tcW w:w="1991" w:type="dxa"/>
            <w:vAlign w:val="center"/>
          </w:tcPr>
          <w:p>
            <w:pPr>
              <w:pStyle w:val="7"/>
              <w:spacing w:before="40" w:line="235" w:lineRule="auto"/>
              <w:ind w:left="36" w:right="9" w:firstLine="5"/>
              <w:jc w:val="both"/>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致使基本农田、防护</w:t>
            </w:r>
            <w:r>
              <w:rPr>
                <w:rFonts w:hint="eastAsia" w:ascii="仿宋_GB2312" w:hAnsi="仿宋_GB2312" w:eastAsia="仿宋_GB2312" w:cs="仿宋_GB2312"/>
                <w:spacing w:val="3"/>
                <w:sz w:val="24"/>
                <w:szCs w:val="24"/>
              </w:rPr>
              <w:t>林地、特种用途林地</w:t>
            </w:r>
            <w:r>
              <w:rPr>
                <w:rFonts w:hint="eastAsia" w:ascii="仿宋_GB2312" w:hAnsi="仿宋_GB2312" w:eastAsia="仿宋_GB2312" w:cs="仿宋_GB2312"/>
                <w:spacing w:val="6"/>
                <w:sz w:val="24"/>
                <w:szCs w:val="24"/>
              </w:rPr>
              <w:t>4亩以下，其他农用</w:t>
            </w:r>
            <w:r>
              <w:rPr>
                <w:rFonts w:hint="eastAsia" w:ascii="仿宋_GB2312" w:hAnsi="仿宋_GB2312" w:eastAsia="仿宋_GB2312" w:cs="仿宋_GB2312"/>
                <w:spacing w:val="3"/>
                <w:sz w:val="24"/>
                <w:szCs w:val="24"/>
              </w:rPr>
              <w:t>地8亩以下，其他土地15亩以下基本功能</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pacing w:val="3"/>
                <w:sz w:val="24"/>
                <w:szCs w:val="24"/>
              </w:rPr>
              <w:t>丧失或者遭受永久性</w:t>
            </w:r>
            <w:r>
              <w:rPr>
                <w:rFonts w:hint="eastAsia" w:ascii="仿宋_GB2312" w:hAnsi="仿宋_GB2312" w:eastAsia="仿宋_GB2312" w:cs="仿宋_GB2312"/>
                <w:spacing w:val="2"/>
                <w:sz w:val="24"/>
                <w:szCs w:val="24"/>
              </w:rPr>
              <w:t xml:space="preserve"> </w:t>
            </w:r>
            <w:r>
              <w:rPr>
                <w:rFonts w:hint="eastAsia" w:ascii="仿宋_GB2312" w:hAnsi="仿宋_GB2312" w:eastAsia="仿宋_GB2312" w:cs="仿宋_GB2312"/>
                <w:spacing w:val="3"/>
                <w:sz w:val="24"/>
                <w:szCs w:val="24"/>
              </w:rPr>
              <w:t>破坏；致使森林或其他林木死亡40立方米以下，或者幼树死亡</w:t>
            </w:r>
            <w:r>
              <w:rPr>
                <w:rFonts w:hint="eastAsia" w:ascii="仿宋_GB2312" w:hAnsi="仿宋_GB2312" w:eastAsia="仿宋_GB2312" w:cs="仿宋_GB2312"/>
                <w:spacing w:val="-1"/>
                <w:sz w:val="24"/>
                <w:szCs w:val="24"/>
              </w:rPr>
              <w:t>2000株以下的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700" w:type="dxa"/>
            <w:gridSpan w:val="6"/>
            <w:vAlign w:val="top"/>
          </w:tcPr>
          <w:p>
            <w:pPr>
              <w:pStyle w:val="7"/>
              <w:spacing w:before="110" w:line="221" w:lineRule="auto"/>
              <w:ind w:left="39"/>
              <w:rPr>
                <w:sz w:val="20"/>
                <w:szCs w:val="20"/>
              </w:rPr>
            </w:pPr>
            <w:r>
              <w:rPr>
                <w:rFonts w:hint="eastAsia" w:ascii="宋体" w:hAnsi="宋体" w:eastAsia="宋体" w:cs="宋体"/>
                <w:spacing w:val="3"/>
                <w:sz w:val="20"/>
                <w:szCs w:val="20"/>
              </w:rPr>
              <w:t>本通用表中‘以上’、‘以下’均包含本数。通用表</w:t>
            </w:r>
            <w:r>
              <w:rPr>
                <w:rFonts w:hint="eastAsia" w:ascii="宋体" w:hAnsi="宋体" w:eastAsia="宋体" w:cs="宋体"/>
                <w:spacing w:val="2"/>
                <w:sz w:val="20"/>
                <w:szCs w:val="20"/>
              </w:rPr>
              <w:t>符合两种以上情形的，按照最重的情形处罚。</w:t>
            </w:r>
          </w:p>
        </w:tc>
      </w:tr>
    </w:tbl>
    <w:p>
      <w:pPr>
        <w:pStyle w:val="2"/>
        <w:spacing w:before="35"/>
        <w:ind w:left="54"/>
        <w:rPr>
          <w:rFonts w:hint="eastAsia" w:ascii="Arial" w:hAnsi="Arial" w:eastAsia="Arial" w:cs="Arial"/>
          <w:snapToGrid w:val="0"/>
          <w:color w:val="000000"/>
          <w:kern w:val="0"/>
          <w:sz w:val="21"/>
          <w:szCs w:val="21"/>
          <w:lang w:val="en-US" w:eastAsia="en-US" w:bidi="ar-SA"/>
        </w:rPr>
      </w:pPr>
      <w:r>
        <w:rPr>
          <w:rFonts w:hint="eastAsia" w:ascii="Arial" w:hAnsi="Arial" w:eastAsia="Arial" w:cs="Arial"/>
          <w:snapToGrid w:val="0"/>
          <w:color w:val="000000"/>
          <w:kern w:val="0"/>
          <w:sz w:val="21"/>
          <w:szCs w:val="21"/>
          <w:lang w:val="en-US" w:eastAsia="en-US" w:bidi="ar-SA"/>
        </w:rPr>
        <w:t>注释：山西省生态环境厅《生态环境行政处罚自由裁量基准》（2022年版）使用中需要注意以下几点：</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一、请认真阅读总则部分，严格按照自由裁量有关规则执行；</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pacing w:val="-9"/>
          <w:sz w:val="22"/>
          <w:szCs w:val="22"/>
        </w:rPr>
      </w:pPr>
      <w:r>
        <w:rPr>
          <w:rFonts w:hint="eastAsia"/>
          <w:sz w:val="22"/>
          <w:szCs w:val="22"/>
        </w:rPr>
        <w:t>二、</w:t>
      </w:r>
      <w:r>
        <w:rPr>
          <w:rFonts w:hint="eastAsia"/>
          <w:spacing w:val="-9"/>
          <w:sz w:val="22"/>
          <w:szCs w:val="22"/>
        </w:rPr>
        <w:t>案件不予处罚、从重或者从轻的规定，分别按照总则的第十条、第十一条、第十二条规定执行；</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第十条【不予处罚的情形】当事人有下列情形之一的，可以不予行政处罚：</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（一） 违法行为轻微并及时改正，没有造成危害后果的；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（二）初次违法且危害后果轻微并及时改正的；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（三）当事人有证据足以证明没有主观过错的；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（四）法律、行政法规另有规定的，从其规定。</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前款第（一）、（二）项不予行政处罚的具体情形详见《生态环境轻微违法行为不予处罚事项清单（2022年版）》。</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适用前款第（三）项时，执法人员应当对当事人提供的证据是否是关键性证据或者是否能形成完整闭环的证据链进行审查，确实没有主观过错的，不予处罚。各级生态环境主管部门应当对不予处罚的当事人责令改正、加强教育、并落实事后监管。</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第十一条【从轻处罚的情形】  当事人有下列情形之一的，应当从轻处罚：</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（一）积极采取整改措施，主动消除或者减轻违法行为危害后果的；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（二）受他人胁迫实施违法行为的；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（三）主动供述生态环境主管部门尚未掌握的违法行为的；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（四）配合生态环境主管部门查处违法行为有立功表现的；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（五）法律、法规和规章规定其他符合从轻处罚情形的。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对符合从轻处罚条件的案件，经集体讨论通过后，可以在裁量基准表计算处罚数额的基础上减少20%以下的处罚， 从轻处罚后的罚款金额以相应处罚幅度最低的法定罚款金额为限。 上述情形在裁量基准表中已有体现的，不再作为从轻处罚情节。</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第十二条【从重处罚的情形】  当事人有下列情形之一的，应当从重处罚：</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（一）妨碍执法人员查处违法行为、拒不配合执法人员现场检查，或者对执法人员、举报人、证人进行威胁、辱骂、殴打、恐吓或者打击报复的；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（二）违法行为造成重大环境污染或重大生态破坏的；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（三）违法行为引起重大群体性事件，造成不良社会影响的；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（四）两年内因同类违法行为被处罚3次（含3次）以上的；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（五）重污染天气预警期间超标排放大气污染物的；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（六）违法行为造成跨县</w:t>
      </w:r>
      <w:r>
        <w:rPr>
          <w:rFonts w:hint="eastAsia" w:eastAsia="SimSun"/>
          <w:sz w:val="22"/>
          <w:szCs w:val="22"/>
          <w:lang w:eastAsia="zh-CN"/>
        </w:rPr>
        <w:t>，</w:t>
      </w:r>
      <w:r>
        <w:rPr>
          <w:rFonts w:hint="eastAsia"/>
          <w:sz w:val="22"/>
          <w:szCs w:val="22"/>
        </w:rPr>
        <w:t>及以上行政区域环境污染的；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（七）发生突发环境事件，违反突发环境事件应对措施的；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（八）法律、法规和规章规定其他符合从重处罚情形的。</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对符合从重处罚条件的案件，经集体讨论通过后，可以在裁量基准表计算处罚数额的基础上增加20%以下的处罚。从重处罚后的实际处罚金额应以相应处罚幅度最高的法定罚款金额为 限。</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上述情形在裁量基准表中已有体现的，不再作为从重处罚情节。</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三、裁量要素“经济承受度”中的企业规模大小按照“国家统计局关于印发《统计上大中小微型企业划分办法（2017）》的通知”执行；</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四、裁量要素“社会影响和生态破坏程度”按照总则第八条和附后的“通用罚款幅度裁量表”执行；</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第八条【通用罚款幅度裁量表的适用】  通用罚款幅度裁量表规定了社会影响和生态破坏程度的裁量基准，与专项罚款幅度裁量表基准结合使用。主要从以下几个方面判定：</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（一）违法行为是否有群众举报投诉；</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（二）违法行为是否造成跨行政区域环境污染；</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（三）造成公私财产损失的大小、违法所得数额，减少防治污染设施运行支出的数额；</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（四）对人和动物的不利影响；</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r>
        <w:rPr>
          <w:rFonts w:hint="eastAsia"/>
          <w:sz w:val="22"/>
          <w:szCs w:val="22"/>
        </w:rPr>
        <w:t>（五）是否造成土壤、植被、景观等生态环境污染或破坏。</w:t>
      </w: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rPr>
          <w:rFonts w:hint="eastAsia" w:ascii="仿宋_GB2312" w:hAnsi="仿宋_GB2312" w:eastAsia="仿宋_GB2312" w:cs="仿宋_GB2312"/>
          <w:sz w:val="24"/>
          <w:szCs w:val="24"/>
        </w:rPr>
        <w:sectPr>
          <w:headerReference r:id="rId6" w:type="default"/>
          <w:footerReference r:id="rId7" w:type="default"/>
          <w:pgSz w:w="11905" w:h="16837"/>
          <w:pgMar w:top="1134" w:right="1134" w:bottom="1134" w:left="1134" w:header="0" w:footer="831" w:gutter="0"/>
          <w:pgBorders>
            <w:top w:val="none" w:sz="0" w:space="0"/>
            <w:left w:val="none" w:sz="0" w:space="0"/>
            <w:bottom w:val="none" w:sz="0" w:space="0"/>
            <w:right w:val="none" w:sz="0" w:space="0"/>
          </w:pgBorders>
          <w:pgNumType w:fmt="numberInDash"/>
          <w:cols w:space="720" w:num="1"/>
        </w:sect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kinsoku w:val="0"/>
        <w:wordWrap/>
        <w:autoSpaceDE w:val="0"/>
        <w:autoSpaceDN w:val="0"/>
        <w:adjustRightInd w:val="0"/>
        <w:snapToGrid w:val="0"/>
        <w:spacing w:line="300" w:lineRule="exact"/>
        <w:ind w:left="0" w:leftChars="0" w:right="0" w:firstLine="440" w:firstLineChars="200"/>
        <w:jc w:val="left"/>
        <w:textAlignment w:val="baseline"/>
        <w:outlineLvl w:val="9"/>
        <w:rPr>
          <w:rFonts w:hint="eastAsia"/>
          <w:sz w:val="22"/>
          <w:szCs w:val="22"/>
        </w:rPr>
      </w:pPr>
    </w:p>
    <w:p>
      <w:pPr>
        <w:widowControl w:val="0"/>
        <w:wordWrap/>
        <w:adjustRightInd/>
        <w:snapToGrid/>
        <w:spacing w:line="600" w:lineRule="exact"/>
        <w:ind w:right="0"/>
        <w:textAlignment w:val="auto"/>
        <w:rPr>
          <w:rFonts w:hint="eastAsia"/>
          <w:sz w:val="22"/>
          <w:szCs w:val="22"/>
        </w:rPr>
      </w:pPr>
    </w:p>
    <w:sectPr>
      <w:footerReference r:id="rId8" w:type="default"/>
      <w:pgSz w:w="11905" w:h="16837"/>
      <w:pgMar w:top="1440" w:right="1080" w:bottom="1440" w:left="1080" w:header="0" w:footer="831" w:gutter="0"/>
      <w:pgBorders>
        <w:top w:val="none" w:sz="0" w:space="0"/>
        <w:left w:val="none" w:sz="0" w:space="0"/>
        <w:bottom w:val="none" w:sz="0" w:space="0"/>
        <w:right w:val="none" w:sz="0" w:space="0"/>
      </w:pgBorders>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SimSun">
    <w:panose1 w:val="02010600030101010101"/>
    <w:charset w:val="86"/>
    <w:family w:val="auto"/>
    <w:pitch w:val="default"/>
    <w:sig w:usb0="00000003" w:usb1="288F00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rPr>
        <w:rFonts w:ascii="宋体" w:hAnsi="宋体" w:eastAsia="宋体" w:cs="宋体"/>
        <w:sz w:val="24"/>
        <w:szCs w:val="24"/>
      </w:rPr>
    </w:pPr>
    <w:r>
      <w:rPr>
        <w:rFonts w:ascii="Arial" w:hAnsi="Arial" w:eastAsia="Arial" w:cs="Arial"/>
        <w:snapToGrid w:val="0"/>
        <w:color w:val="000000"/>
        <w:kern w:val="0"/>
        <w:sz w:val="24"/>
        <w:szCs w:val="21"/>
        <w:lang w:val="en-US" w:eastAsia="en-US" w:bidi="ar-SA"/>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-209550</wp:posOffset>
              </wp:positionV>
              <wp:extent cx="533400" cy="230505"/>
              <wp:effectExtent l="0" t="0" r="0" b="0"/>
              <wp:wrapNone/>
              <wp:docPr id="3" name="文本框 8"/>
              <wp:cNvGraphicFramePr/>
              <a:graphic xmlns:a="http://schemas.openxmlformats.org/drawingml/2006/main">
                <a:graphicData uri="http://schemas.microsoft.com/office/word/2010/wordprocessingShape">
                  <wps:wsp>
                    <wps:cNvSpPr txBox="true"/>
                    <wps:spPr>
                      <a:xfrm>
                        <a:off x="0" y="0"/>
                        <a:ext cx="533400" cy="23050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- 22 -</w:t>
                          </w:r>
                          <w:r>
                            <w:rPr>
                              <w:rFonts w:hint="eastAsia" w:ascii="宋体" w:hAnsi="宋体" w:eastAsia="宋体" w:cs="宋体"/>
                              <w:sz w:val="28"/>
                              <w:szCs w:val="28"/>
                              <w:lang w:eastAsia="zh-CN"/>
                            </w:rPr>
                            <w:fldChar w:fldCharType="end"/>
                          </w:r>
                        </w:p>
                      </w:txbxContent>
                    </wps:txbx>
                    <wps:bodyPr wrap="none" lIns="0" tIns="0" rIns="0" bIns="0" upright="false">
                      <a:spAutoFit/>
                    </wps:bodyPr>
                  </wps:wsp>
                </a:graphicData>
              </a:graphic>
            </wp:anchor>
          </w:drawing>
        </mc:Choice>
        <mc:Fallback>
          <w:pict>
            <v:shape id="文本框 8" o:spid="_x0000_s1026" o:spt="202" type="#_x0000_t202" style="position:absolute;left:0pt;margin-top:-16.5pt;height:18.15pt;width:42pt;mso-position-horizontal:inside;mso-position-horizontal-relative:margin;mso-wrap-style:none;z-index:251660288;mso-width-relative:page;mso-height-relative:page;" filled="f" stroked="f" coordsize="21600,21600" o:gfxdata="UEsFBgAAAAAAAAAAAAAAAAAAAAAAAFBLAwQKAAAAAACHTuJAAAAAAAAAAAAAAAAABAAAAGRycy9Q&#10;SwMEFAAAAAgAh07iQDKhTN7SAAAABQEAAA8AAABkcnMvZG93bnJldi54bWxNj81OwzAQhO9IvIO1&#10;lbi1TgmCKGTTQyUu3CgIqTc33sZR/RPZbpq8PcsJTjurWc182+xmZ8VEMQ3BI2w3BQjyXdCD7xG+&#10;Pt/WFYiUldfKBk8ICyXYtfd3jap1uPkPmg65FxziU60QTM5jLWXqDDmVNmEkz945RKcyr7GXOqob&#10;hzsrH4viWTo1eG4waqS9oe5yuDqEl/k70JhoT8fz1EUzLJV9XxAfVtviFUSmOf8dwy8+o0PLTKdw&#10;9ToJi8CPZIR1WbJgu3rieUIoS5BtI//Ttz9QSwMEFAAAAAgAh07iQDyZZy+3AQAAUAMAAA4AAABk&#10;cnMvZTJvRG9jLnhtbK1TS44TMRDdI3EHy3vinoSgUSvOCDQahIQAaeAAjttOW/JPZSfduQDcgBUb&#10;9pwr56DspDPA7EZs3OWq6lfvVZVXN6OzZK8gmeA5vZo1lCgvQ2f8ltMvn+9eXFOSsvCdsMErTg8q&#10;0Zv182erIbZqHvpgOwUEQXxqh8hpn3NsGUuyV06kWYjKY1AHcCLjFbasAzEgurNs3jSv2BCgixCk&#10;Sgm9t6cgXVd8rZXMH7VOKhPLKXLL9YR6bsrJ1ivRbkHE3sgzDfEEFk4Yj0UvULciC7ID8wjKGQkh&#10;BZ1nMjgWtDZSVQ2o5qr5R819L6KqWrA5KV7alP4frPyw/wTEdJwuKPHC4YiO378df/w6/vxKrkt7&#10;hphazLqPmJfHN2HkNMNOTaGE/iJ81ODKFyURTMFeHy79VWMmEp3LxeJlgxGJofmiWTbLgsIefo6Q&#10;8lsVHCkGp4Djq10V+/cpn1KnlFLLhztjbR2h9X85ELN4WCF/YlisPG7Gs6JN6A4oaMDJc+pxNSmx&#10;7zw2tizJZMBkbCZjF8Fse6SmhU1lNALhX+8yEqn8SpUT9Lk4jq0qPK9Y2Ys/7zXr4SG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WAAAA&#10;ZHJzL1BLAQIUABQAAAAIAIdO4kAyoUze0gAAAAUBAAAPAAAAAAAAAAEAIAAAADgAAABkcnMvZG93&#10;bnJldi54bWxQSwECFAAUAAAACACHTuJAPJlnL7cBAABQAwAADgAAAAAAAAABACAAAAA3AQAAZHJz&#10;L2Uyb0RvYy54bWxQSwUGAAAAAAYABgBZAQAAYA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- 22 -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Arial" w:hAnsi="Arial" w:eastAsia="Arial" w:cs="Arial"/>
        <w:snapToGrid w:val="0"/>
        <w:color w:val="000000"/>
        <w:kern w:val="0"/>
        <w:sz w:val="21"/>
        <w:szCs w:val="21"/>
        <w:lang w:val="en-US" w:eastAsia="en-US" w:bidi="ar-SA"/>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wps:txbx>
                    <wps:bodyPr wrap="none" lIns="0" tIns="0" rIns="0" bIns="0" upright="false">
                      <a:spAutoFit/>
                    </wps:bodyPr>
                  </wps:wsp>
                </a:graphicData>
              </a:graphic>
            </wp:anchor>
          </w:drawing>
        </mc:Choice>
        <mc:Fallback>
          <w:pict>
            <v:shape id="文本框 7"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63hpO0AQAAUgMAAA4AAABkcnMv&#10;ZTJvRG9jLnhtbK1TS27bMBDdF8gdCO5jyl6khmA5SBAkCFAkBdIegKZIiwB/GNKWfIHkBl11033P&#10;5XN0SFtO2+yCbKjhzOjNezPDxeVgDdlKiNq7hk4nFSXSCd9qt27o92+353NKYuKu5cY72dCdjPRy&#10;efZp0YdaznznTSuBIIiLdR8a2qUUasai6KTlceKDdBhUHixPeIU1a4H3iG4Nm1XVBes9tAG8kDGi&#10;9+YQpMuCr5QU6VGpKBMxDUVuqZxQzlU+2XLB6zXw0GlxpMHfwcJy7bDoCeqGJ042oN9AWS3AR6/S&#10;RHjLvFJayKIB1Uyr/9Q8dTzIogWbE8OpTfHjYMXD9isQ3eLsKHHc4oj2P172P3/vfz2Tz7k9fYg1&#10;Zj0FzEvDtR8ammAjx1BEfxY+KLD5i5IIpmCvd6f+yiERgc7pfDafVxgSGBsvWIK9/h4gpjvpLclG&#10;QwEHWPrKt19iOqSOKbma87famDJE4/5xIGb2sEz/wDFbaVgNR00r3+5QUo+zb6jD5aTE3DtsbV6T&#10;0YDRWI3GJoBed0hNcRPzcDjCX20SEin8cpUD9LE4Dq4oPC5Z3oy/7yXr9Sk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zreGk7QBAABSAwAADgAAAAAAAAABACAAAAA0AQAAZHJzL2Uyb0Rv&#10;Yy54bWxQSwUGAAAAAAYABgBZAQAAWg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rPr>
        <w:rFonts w:ascii="宋体" w:hAnsi="宋体" w:eastAsia="宋体" w:cs="宋体"/>
        <w:sz w:val="24"/>
        <w:szCs w:val="24"/>
      </w:rPr>
    </w:pPr>
    <w:r>
      <w:rPr>
        <w:rFonts w:ascii="Arial" w:hAnsi="Arial" w:eastAsia="Arial" w:cs="Arial"/>
        <w:snapToGrid w:val="0"/>
        <w:color w:val="000000"/>
        <w:kern w:val="0"/>
        <w:sz w:val="24"/>
        <w:szCs w:val="21"/>
        <w:lang w:val="en-US" w:eastAsia="en-US" w:bidi="ar-SA"/>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-209550</wp:posOffset>
              </wp:positionV>
              <wp:extent cx="533400" cy="230505"/>
              <wp:effectExtent l="0" t="0" r="0" b="0"/>
              <wp:wrapNone/>
              <wp:docPr id="2" name="文本框 8"/>
              <wp:cNvGraphicFramePr/>
              <a:graphic xmlns:a="http://schemas.openxmlformats.org/drawingml/2006/main">
                <a:graphicData uri="http://schemas.microsoft.com/office/word/2010/wordprocessingShape">
                  <wps:wsp>
                    <wps:cNvSpPr txBox="true"/>
                    <wps:spPr>
                      <a:xfrm>
                        <a:off x="0" y="0"/>
                        <a:ext cx="533400" cy="23050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- 22 -</w:t>
                          </w:r>
                          <w:r>
                            <w:rPr>
                              <w:rFonts w:hint="eastAsia" w:ascii="宋体" w:hAnsi="宋体" w:eastAsia="宋体" w:cs="宋体"/>
                              <w:sz w:val="28"/>
                              <w:szCs w:val="28"/>
                              <w:lang w:eastAsia="zh-CN"/>
                            </w:rPr>
                            <w:fldChar w:fldCharType="end"/>
                          </w:r>
                        </w:p>
                      </w:txbxContent>
                    </wps:txbx>
                    <wps:bodyPr wrap="none" lIns="0" tIns="0" rIns="0" bIns="0" upright="false">
                      <a:spAutoFit/>
                    </wps:bodyPr>
                  </wps:wsp>
                </a:graphicData>
              </a:graphic>
            </wp:anchor>
          </w:drawing>
        </mc:Choice>
        <mc:Fallback>
          <w:pict>
            <v:shape id="文本框 8" o:spid="_x0000_s1026" o:spt="202" type="#_x0000_t202" style="position:absolute;left:0pt;margin-top:-16.5pt;height:18.15pt;width:42pt;mso-position-horizontal:inside;mso-position-horizontal-relative:margin;mso-wrap-style:none;z-index:251660288;mso-width-relative:page;mso-height-relative:page;" filled="f" stroked="f" coordsize="21600,21600" o:gfxdata="UEsFBgAAAAAAAAAAAAAAAAAAAAAAAFBLAwQKAAAAAACHTuJAAAAAAAAAAAAAAAAABAAAAGRycy9Q&#10;SwMEFAAAAAgAh07iQDKhTN7SAAAABQEAAA8AAABkcnMvZG93bnJldi54bWxNj81OwzAQhO9IvIO1&#10;lbi1TgmCKGTTQyUu3CgIqTc33sZR/RPZbpq8PcsJTjurWc182+xmZ8VEMQ3BI2w3BQjyXdCD7xG+&#10;Pt/WFYiUldfKBk8ICyXYtfd3jap1uPkPmg65FxziU60QTM5jLWXqDDmVNmEkz945RKcyr7GXOqob&#10;hzsrH4viWTo1eG4waqS9oe5yuDqEl/k70JhoT8fz1EUzLJV9XxAfVtviFUSmOf8dwy8+o0PLTKdw&#10;9ToJi8CPZIR1WbJgu3rieUIoS5BtI//Ttz9QSwMEFAAAAAgAh07iQNPzbn+3AQAAUAMAAA4AAABk&#10;cnMvZTJvRG9jLnhtbK1TS44TMRDdI3EHy3vinoSgUSvOCDQahIQAaeAAjttOW/JPZSfduQDcgBUb&#10;9pwr56DspDPA7EZs3OWq6lfvVZVXN6OzZK8gmeA5vZo1lCgvQ2f8ltMvn+9eXFOSsvCdsMErTg8q&#10;0Zv182erIbZqHvpgOwUEQXxqh8hpn3NsGUuyV06kWYjKY1AHcCLjFbasAzEgurNs3jSv2BCgixCk&#10;Sgm9t6cgXVd8rZXMH7VOKhPLKXLL9YR6bsrJ1ivRbkHE3sgzDfEEFk4Yj0UvULciC7ID8wjKGQkh&#10;BZ1nMjgWtDZSVQ2o5qr5R819L6KqWrA5KV7alP4frPyw/wTEdJzOKfHC4YiO378df/w6/vxKrkt7&#10;hphazLqPmJfHN2HkNMNOTaGE/iJ81ODKFyURTMFeHy79VWMmEp3LxeJlgxGJofmiWTbLgsIefo6Q&#10;8lsVHCkGp4Djq10V+/cpn1KnlFLLhztjbR2h9X85ELN4WCF/YlisPG7Gs6JN6A4oaMDJc+pxNSmx&#10;7zw2tizJZMBkbCZjF8Fse6SmhU1lNALhX+8yEqn8SpUT9Lk4jq0qPK9Y2Ys/7zXr4SG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WAAAA&#10;ZHJzL1BLAQIUABQAAAAIAIdO4kAyoUze0gAAAAUBAAAPAAAAAAAAAAEAIAAAADgAAABkcnMvZG93&#10;bnJldi54bWxQSwECFAAUAAAACACHTuJA0/Nuf7cBAABQAwAADgAAAAAAAAABACAAAAA3AQAAZHJz&#10;L2Uyb0RvYy54bWxQSwUGAAAAAAYABgBZAQAAYA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- 22 -</w:t>
                    </w:r>
                    <w:r>
                      <w:rPr>
                        <w:rFonts w:hint="eastAsia" w:ascii="宋体" w:hAnsi="宋体" w:eastAsia="宋体" w:cs="宋体"/>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bordersDoNotSurroundHeader w:val="false"/>
  <w:bordersDoNotSurroundFooter w:val="false"/>
  <w:documentProtection w:enforcement="0"/>
  <w:defaultTabStop w:val="420"/>
  <w:displayHorizontalDrawingGridEvery w:val="1"/>
  <w:displayVerticalDrawingGridEvery w:val="1"/>
  <w:noPunctuationKerning w:val="true"/>
  <w:characterSpacingControl w:val="doNotCompress"/>
  <w:footnotePr>
    <w:footnote w:id="0"/>
    <w:footnote w:id="1"/>
  </w:footnotePr>
  <w:endnotePr>
    <w:endnote w:id="0"/>
    <w:endnote w:id="1"/>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1Y2Q4ZWM0NjgwM2I4ZmFjMjc3ODczYWEzMGJkNzUifQ=="/>
  </w:docVars>
  <w:rsids>
    <w:rsidRoot w:val="00000000"/>
    <w:rsid w:val="001F1BC1"/>
    <w:rsid w:val="00222B45"/>
    <w:rsid w:val="00477502"/>
    <w:rsid w:val="00A10E95"/>
    <w:rsid w:val="00BB52C2"/>
    <w:rsid w:val="01582BC2"/>
    <w:rsid w:val="01777BF4"/>
    <w:rsid w:val="017F0884"/>
    <w:rsid w:val="0183728A"/>
    <w:rsid w:val="01BF166D"/>
    <w:rsid w:val="01C81F7D"/>
    <w:rsid w:val="01DC539A"/>
    <w:rsid w:val="02140D77"/>
    <w:rsid w:val="02166173"/>
    <w:rsid w:val="02235B0E"/>
    <w:rsid w:val="025078D7"/>
    <w:rsid w:val="02572AE5"/>
    <w:rsid w:val="02634379"/>
    <w:rsid w:val="029F675D"/>
    <w:rsid w:val="02B353FD"/>
    <w:rsid w:val="02BC028B"/>
    <w:rsid w:val="02CC0525"/>
    <w:rsid w:val="02D84338"/>
    <w:rsid w:val="02EF3F5D"/>
    <w:rsid w:val="02FB57F1"/>
    <w:rsid w:val="03377BD5"/>
    <w:rsid w:val="039943F6"/>
    <w:rsid w:val="03D567D9"/>
    <w:rsid w:val="03DB06E3"/>
    <w:rsid w:val="03E766F4"/>
    <w:rsid w:val="03ED05FD"/>
    <w:rsid w:val="03EE607E"/>
    <w:rsid w:val="03F12886"/>
    <w:rsid w:val="0425785D"/>
    <w:rsid w:val="043467F3"/>
    <w:rsid w:val="046724C5"/>
    <w:rsid w:val="04731B5B"/>
    <w:rsid w:val="04822175"/>
    <w:rsid w:val="04A226AA"/>
    <w:rsid w:val="04A845B3"/>
    <w:rsid w:val="04B80FCA"/>
    <w:rsid w:val="04BA44CE"/>
    <w:rsid w:val="04BE6757"/>
    <w:rsid w:val="04C01C5A"/>
    <w:rsid w:val="04CB21E9"/>
    <w:rsid w:val="04D17976"/>
    <w:rsid w:val="04EC5FA1"/>
    <w:rsid w:val="04F311AF"/>
    <w:rsid w:val="04F46C31"/>
    <w:rsid w:val="04F930B9"/>
    <w:rsid w:val="05002A44"/>
    <w:rsid w:val="051E1FF4"/>
    <w:rsid w:val="053E2528"/>
    <w:rsid w:val="05557F4F"/>
    <w:rsid w:val="055D2DDD"/>
    <w:rsid w:val="05631463"/>
    <w:rsid w:val="056A0DEE"/>
    <w:rsid w:val="0570657B"/>
    <w:rsid w:val="05D22D9C"/>
    <w:rsid w:val="05D3081E"/>
    <w:rsid w:val="05D94925"/>
    <w:rsid w:val="063240BA"/>
    <w:rsid w:val="063E20CB"/>
    <w:rsid w:val="06824BCA"/>
    <w:rsid w:val="068E314F"/>
    <w:rsid w:val="0695635D"/>
    <w:rsid w:val="06971860"/>
    <w:rsid w:val="06A452F3"/>
    <w:rsid w:val="06A76277"/>
    <w:rsid w:val="06EA7FE5"/>
    <w:rsid w:val="07051E94"/>
    <w:rsid w:val="07095017"/>
    <w:rsid w:val="072E5257"/>
    <w:rsid w:val="0763442C"/>
    <w:rsid w:val="07B27A2E"/>
    <w:rsid w:val="07D956F0"/>
    <w:rsid w:val="07E92107"/>
    <w:rsid w:val="07EC690F"/>
    <w:rsid w:val="07F12D96"/>
    <w:rsid w:val="07F17513"/>
    <w:rsid w:val="081751D4"/>
    <w:rsid w:val="08200062"/>
    <w:rsid w:val="0869175B"/>
    <w:rsid w:val="08A737BE"/>
    <w:rsid w:val="08B63DD9"/>
    <w:rsid w:val="08BE33E4"/>
    <w:rsid w:val="08D5688C"/>
    <w:rsid w:val="090C0F64"/>
    <w:rsid w:val="091266F1"/>
    <w:rsid w:val="094758C6"/>
    <w:rsid w:val="09673BFD"/>
    <w:rsid w:val="09806D25"/>
    <w:rsid w:val="099346C1"/>
    <w:rsid w:val="09E23546"/>
    <w:rsid w:val="0A064A00"/>
    <w:rsid w:val="0A347ACD"/>
    <w:rsid w:val="0A470CEC"/>
    <w:rsid w:val="0A5C1B8B"/>
    <w:rsid w:val="0A5E57EB"/>
    <w:rsid w:val="0A623A94"/>
    <w:rsid w:val="0A703859"/>
    <w:rsid w:val="0A8452CE"/>
    <w:rsid w:val="0A8B04DC"/>
    <w:rsid w:val="0A904964"/>
    <w:rsid w:val="0AA35B83"/>
    <w:rsid w:val="0AAD6492"/>
    <w:rsid w:val="0AC637B9"/>
    <w:rsid w:val="0AC8253F"/>
    <w:rsid w:val="0AEB5F77"/>
    <w:rsid w:val="0AEE277F"/>
    <w:rsid w:val="0AF54308"/>
    <w:rsid w:val="0B045B40"/>
    <w:rsid w:val="0B0E19AF"/>
    <w:rsid w:val="0B2F7965"/>
    <w:rsid w:val="0B47088F"/>
    <w:rsid w:val="0B50371D"/>
    <w:rsid w:val="0B542123"/>
    <w:rsid w:val="0B7329D8"/>
    <w:rsid w:val="0B911F88"/>
    <w:rsid w:val="0B973E91"/>
    <w:rsid w:val="0BBF17D2"/>
    <w:rsid w:val="0BDA7DFE"/>
    <w:rsid w:val="0C157FE3"/>
    <w:rsid w:val="0C177C63"/>
    <w:rsid w:val="0C302D8B"/>
    <w:rsid w:val="0C510D41"/>
    <w:rsid w:val="0C5764CE"/>
    <w:rsid w:val="0C7A1F06"/>
    <w:rsid w:val="0CB17E61"/>
    <w:rsid w:val="0CC60D00"/>
    <w:rsid w:val="0CF12E49"/>
    <w:rsid w:val="0CFE7F60"/>
    <w:rsid w:val="0D1E4C12"/>
    <w:rsid w:val="0D1F2693"/>
    <w:rsid w:val="0D3835BD"/>
    <w:rsid w:val="0D53766A"/>
    <w:rsid w:val="0D612203"/>
    <w:rsid w:val="0D945ED5"/>
    <w:rsid w:val="0DAA0079"/>
    <w:rsid w:val="0DAD4881"/>
    <w:rsid w:val="0DDE5050"/>
    <w:rsid w:val="0E475979"/>
    <w:rsid w:val="0E4E0B87"/>
    <w:rsid w:val="0E4F2D85"/>
    <w:rsid w:val="0E511B0C"/>
    <w:rsid w:val="0E8D066C"/>
    <w:rsid w:val="0EB949B3"/>
    <w:rsid w:val="0EDC3C6E"/>
    <w:rsid w:val="0EE85502"/>
    <w:rsid w:val="0F1B4A58"/>
    <w:rsid w:val="0F3846AC"/>
    <w:rsid w:val="0F4B77A5"/>
    <w:rsid w:val="0F6B5ADC"/>
    <w:rsid w:val="0F845381"/>
    <w:rsid w:val="0FA04CB1"/>
    <w:rsid w:val="0FAA55C0"/>
    <w:rsid w:val="0FB107CE"/>
    <w:rsid w:val="0FB2044E"/>
    <w:rsid w:val="0FC10A69"/>
    <w:rsid w:val="0FE36A1F"/>
    <w:rsid w:val="0FE54120"/>
    <w:rsid w:val="100833DB"/>
    <w:rsid w:val="10386129"/>
    <w:rsid w:val="105E6369"/>
    <w:rsid w:val="10DF343F"/>
    <w:rsid w:val="10DF7BBC"/>
    <w:rsid w:val="112934B3"/>
    <w:rsid w:val="114C276E"/>
    <w:rsid w:val="115A7505"/>
    <w:rsid w:val="119A02EF"/>
    <w:rsid w:val="11AB600B"/>
    <w:rsid w:val="11CE52C6"/>
    <w:rsid w:val="11F12EFC"/>
    <w:rsid w:val="121015B2"/>
    <w:rsid w:val="12117034"/>
    <w:rsid w:val="12722550"/>
    <w:rsid w:val="127D1BE6"/>
    <w:rsid w:val="128E407F"/>
    <w:rsid w:val="12905384"/>
    <w:rsid w:val="12E3738C"/>
    <w:rsid w:val="1316305E"/>
    <w:rsid w:val="13725976"/>
    <w:rsid w:val="139748B1"/>
    <w:rsid w:val="13AE44D6"/>
    <w:rsid w:val="13BA5D6B"/>
    <w:rsid w:val="13E15C2A"/>
    <w:rsid w:val="13E54630"/>
    <w:rsid w:val="13E620B2"/>
    <w:rsid w:val="1423579A"/>
    <w:rsid w:val="146D1091"/>
    <w:rsid w:val="149E1860"/>
    <w:rsid w:val="14C15298"/>
    <w:rsid w:val="14CC6EAC"/>
    <w:rsid w:val="14E909DB"/>
    <w:rsid w:val="151C7F30"/>
    <w:rsid w:val="154C2C7E"/>
    <w:rsid w:val="15584512"/>
    <w:rsid w:val="157463C1"/>
    <w:rsid w:val="1588725F"/>
    <w:rsid w:val="15C603C9"/>
    <w:rsid w:val="15DC6CEA"/>
    <w:rsid w:val="15E31EF8"/>
    <w:rsid w:val="15FC5020"/>
    <w:rsid w:val="1606592F"/>
    <w:rsid w:val="162219DC"/>
    <w:rsid w:val="16281367"/>
    <w:rsid w:val="167D6873"/>
    <w:rsid w:val="169C38A4"/>
    <w:rsid w:val="16BB4159"/>
    <w:rsid w:val="16BE50DE"/>
    <w:rsid w:val="16D31800"/>
    <w:rsid w:val="16DA4A0E"/>
    <w:rsid w:val="16E00B16"/>
    <w:rsid w:val="16E24019"/>
    <w:rsid w:val="16E4531E"/>
    <w:rsid w:val="17787D90"/>
    <w:rsid w:val="178A352D"/>
    <w:rsid w:val="17CC781A"/>
    <w:rsid w:val="17D426A8"/>
    <w:rsid w:val="17F915E3"/>
    <w:rsid w:val="18147C0E"/>
    <w:rsid w:val="18397E4E"/>
    <w:rsid w:val="185815FC"/>
    <w:rsid w:val="18A516FB"/>
    <w:rsid w:val="18BD6DA2"/>
    <w:rsid w:val="18C035AA"/>
    <w:rsid w:val="18F5277F"/>
    <w:rsid w:val="190E348C"/>
    <w:rsid w:val="19231FC9"/>
    <w:rsid w:val="193C2EF3"/>
    <w:rsid w:val="197E4C62"/>
    <w:rsid w:val="19871CEE"/>
    <w:rsid w:val="19931384"/>
    <w:rsid w:val="19A2611B"/>
    <w:rsid w:val="19E47E89"/>
    <w:rsid w:val="1A2453EF"/>
    <w:rsid w:val="1A3F729E"/>
    <w:rsid w:val="1A4533A6"/>
    <w:rsid w:val="1A9D1836"/>
    <w:rsid w:val="1AB104D7"/>
    <w:rsid w:val="1ABD7B6C"/>
    <w:rsid w:val="1AEA1935"/>
    <w:rsid w:val="1AFB7651"/>
    <w:rsid w:val="1B225312"/>
    <w:rsid w:val="1B4F4EDD"/>
    <w:rsid w:val="1BAA64F0"/>
    <w:rsid w:val="1BC11999"/>
    <w:rsid w:val="1BDD5A46"/>
    <w:rsid w:val="1BE52E52"/>
    <w:rsid w:val="1C2E454B"/>
    <w:rsid w:val="1C4C3AFB"/>
    <w:rsid w:val="1CA31F8B"/>
    <w:rsid w:val="1CB07F9C"/>
    <w:rsid w:val="1CF1208B"/>
    <w:rsid w:val="1D012325"/>
    <w:rsid w:val="1D0F3839"/>
    <w:rsid w:val="1D166A47"/>
    <w:rsid w:val="1D3B5982"/>
    <w:rsid w:val="1D41310E"/>
    <w:rsid w:val="1D5255A7"/>
    <w:rsid w:val="1DA2662B"/>
    <w:rsid w:val="1DD400FF"/>
    <w:rsid w:val="1DDC550B"/>
    <w:rsid w:val="1E127BE4"/>
    <w:rsid w:val="1E281D87"/>
    <w:rsid w:val="1E6B3AF5"/>
    <w:rsid w:val="1E977E3D"/>
    <w:rsid w:val="1E9A4645"/>
    <w:rsid w:val="1EAB48DF"/>
    <w:rsid w:val="1ECE5D98"/>
    <w:rsid w:val="1EDC50AE"/>
    <w:rsid w:val="1EF34CD3"/>
    <w:rsid w:val="1F0B5BFD"/>
    <w:rsid w:val="1F0E32FE"/>
    <w:rsid w:val="1F3E18CF"/>
    <w:rsid w:val="1F5E4382"/>
    <w:rsid w:val="1F9E2BED"/>
    <w:rsid w:val="1FC508AF"/>
    <w:rsid w:val="2008481B"/>
    <w:rsid w:val="201501EA"/>
    <w:rsid w:val="202A6055"/>
    <w:rsid w:val="204F4F90"/>
    <w:rsid w:val="206C2341"/>
    <w:rsid w:val="208D4A74"/>
    <w:rsid w:val="209F0212"/>
    <w:rsid w:val="20BD3045"/>
    <w:rsid w:val="20CE32DF"/>
    <w:rsid w:val="210D0846"/>
    <w:rsid w:val="211D68E2"/>
    <w:rsid w:val="21361A0A"/>
    <w:rsid w:val="21536DBC"/>
    <w:rsid w:val="215B63C6"/>
    <w:rsid w:val="216956DC"/>
    <w:rsid w:val="217F3103"/>
    <w:rsid w:val="21805301"/>
    <w:rsid w:val="21B422D8"/>
    <w:rsid w:val="21BC2F68"/>
    <w:rsid w:val="21D44D8B"/>
    <w:rsid w:val="22133977"/>
    <w:rsid w:val="22156E7A"/>
    <w:rsid w:val="22257114"/>
    <w:rsid w:val="225A62E9"/>
    <w:rsid w:val="227E633A"/>
    <w:rsid w:val="228C7DBD"/>
    <w:rsid w:val="22AB4DEF"/>
    <w:rsid w:val="22B03475"/>
    <w:rsid w:val="22C16F92"/>
    <w:rsid w:val="22D075AD"/>
    <w:rsid w:val="22ED6B5D"/>
    <w:rsid w:val="22EE45DF"/>
    <w:rsid w:val="22F22FE5"/>
    <w:rsid w:val="23312AC9"/>
    <w:rsid w:val="235A5E8C"/>
    <w:rsid w:val="23921869"/>
    <w:rsid w:val="23C32038"/>
    <w:rsid w:val="24356AF4"/>
    <w:rsid w:val="24466D8E"/>
    <w:rsid w:val="246C4A50"/>
    <w:rsid w:val="24A061A3"/>
    <w:rsid w:val="24CE37EF"/>
    <w:rsid w:val="24D740FF"/>
    <w:rsid w:val="24EF17A6"/>
    <w:rsid w:val="25053949"/>
    <w:rsid w:val="25167467"/>
    <w:rsid w:val="25300011"/>
    <w:rsid w:val="25361F1A"/>
    <w:rsid w:val="25AE08DF"/>
    <w:rsid w:val="25C27580"/>
    <w:rsid w:val="26035DEB"/>
    <w:rsid w:val="260B31F7"/>
    <w:rsid w:val="262E24B2"/>
    <w:rsid w:val="2635403B"/>
    <w:rsid w:val="26492CDC"/>
    <w:rsid w:val="26773BAB"/>
    <w:rsid w:val="2678162D"/>
    <w:rsid w:val="268E7F4D"/>
    <w:rsid w:val="26A22471"/>
    <w:rsid w:val="26BB5599"/>
    <w:rsid w:val="26E718E0"/>
    <w:rsid w:val="26FE7307"/>
    <w:rsid w:val="27401076"/>
    <w:rsid w:val="274554FD"/>
    <w:rsid w:val="27634AAD"/>
    <w:rsid w:val="277D5657"/>
    <w:rsid w:val="27B74537"/>
    <w:rsid w:val="27C82253"/>
    <w:rsid w:val="27D711E9"/>
    <w:rsid w:val="27E46300"/>
    <w:rsid w:val="27F15616"/>
    <w:rsid w:val="280D4F46"/>
    <w:rsid w:val="28225DE5"/>
    <w:rsid w:val="28354E06"/>
    <w:rsid w:val="28562DBC"/>
    <w:rsid w:val="286655D5"/>
    <w:rsid w:val="28757DED"/>
    <w:rsid w:val="28CD627E"/>
    <w:rsid w:val="28D4148C"/>
    <w:rsid w:val="291369F2"/>
    <w:rsid w:val="295264D7"/>
    <w:rsid w:val="297C731B"/>
    <w:rsid w:val="29924D42"/>
    <w:rsid w:val="299A214E"/>
    <w:rsid w:val="29A71464"/>
    <w:rsid w:val="29B42CF8"/>
    <w:rsid w:val="2A4547E5"/>
    <w:rsid w:val="2A720FDA"/>
    <w:rsid w:val="2A7917BC"/>
    <w:rsid w:val="2A8A1A57"/>
    <w:rsid w:val="2ACA02C2"/>
    <w:rsid w:val="2B0513A0"/>
    <w:rsid w:val="2B066E22"/>
    <w:rsid w:val="2B1D22CA"/>
    <w:rsid w:val="2B341EF0"/>
    <w:rsid w:val="2B4A6612"/>
    <w:rsid w:val="2B62173A"/>
    <w:rsid w:val="2B6A4948"/>
    <w:rsid w:val="2B6C58CD"/>
    <w:rsid w:val="2B7661DC"/>
    <w:rsid w:val="2B914808"/>
    <w:rsid w:val="2BA8442D"/>
    <w:rsid w:val="2BD01D6E"/>
    <w:rsid w:val="2BDF2388"/>
    <w:rsid w:val="2BE85216"/>
    <w:rsid w:val="2BFE73BA"/>
    <w:rsid w:val="2C025DC0"/>
    <w:rsid w:val="2C1218DE"/>
    <w:rsid w:val="2C2B4A06"/>
    <w:rsid w:val="2C6B1F6C"/>
    <w:rsid w:val="2C99503A"/>
    <w:rsid w:val="2CAB07D7"/>
    <w:rsid w:val="2CB20162"/>
    <w:rsid w:val="2CC51381"/>
    <w:rsid w:val="2CE9283B"/>
    <w:rsid w:val="2CFE27E0"/>
    <w:rsid w:val="2D017EE1"/>
    <w:rsid w:val="2D406ACD"/>
    <w:rsid w:val="2D5B50F8"/>
    <w:rsid w:val="2D657C06"/>
    <w:rsid w:val="2D660F0B"/>
    <w:rsid w:val="2D691E8F"/>
    <w:rsid w:val="2D6F0515"/>
    <w:rsid w:val="2D763723"/>
    <w:rsid w:val="2D953FD8"/>
    <w:rsid w:val="2D963C58"/>
    <w:rsid w:val="2D9E66A8"/>
    <w:rsid w:val="2E393461"/>
    <w:rsid w:val="2E7B51CF"/>
    <w:rsid w:val="2E9E0C07"/>
    <w:rsid w:val="2EAC599E"/>
    <w:rsid w:val="2F594BBE"/>
    <w:rsid w:val="2FAC3343"/>
    <w:rsid w:val="2FD31004"/>
    <w:rsid w:val="2FF53E2C"/>
    <w:rsid w:val="2FFD1E48"/>
    <w:rsid w:val="30121DEE"/>
    <w:rsid w:val="30283F91"/>
    <w:rsid w:val="306275EE"/>
    <w:rsid w:val="3076628F"/>
    <w:rsid w:val="30937DBD"/>
    <w:rsid w:val="31300F41"/>
    <w:rsid w:val="31607511"/>
    <w:rsid w:val="31696B1C"/>
    <w:rsid w:val="3172522D"/>
    <w:rsid w:val="318254C8"/>
    <w:rsid w:val="31C85C3C"/>
    <w:rsid w:val="31CB6BC1"/>
    <w:rsid w:val="31D80455"/>
    <w:rsid w:val="32127335"/>
    <w:rsid w:val="321E0BC9"/>
    <w:rsid w:val="322A49DC"/>
    <w:rsid w:val="32591CA8"/>
    <w:rsid w:val="32930B88"/>
    <w:rsid w:val="32CF2F6B"/>
    <w:rsid w:val="32EB4A9A"/>
    <w:rsid w:val="332F4289"/>
    <w:rsid w:val="3333740C"/>
    <w:rsid w:val="333B009C"/>
    <w:rsid w:val="333D579D"/>
    <w:rsid w:val="334B0336"/>
    <w:rsid w:val="338E7B26"/>
    <w:rsid w:val="33AC70D6"/>
    <w:rsid w:val="33E54CB2"/>
    <w:rsid w:val="348225B1"/>
    <w:rsid w:val="34A053E5"/>
    <w:rsid w:val="34A64D70"/>
    <w:rsid w:val="34DF61CE"/>
    <w:rsid w:val="34F934F5"/>
    <w:rsid w:val="35607A21"/>
    <w:rsid w:val="357353BD"/>
    <w:rsid w:val="35771BC5"/>
    <w:rsid w:val="35925C72"/>
    <w:rsid w:val="35CF5AD7"/>
    <w:rsid w:val="35F13A8D"/>
    <w:rsid w:val="363E0309"/>
    <w:rsid w:val="36545D30"/>
    <w:rsid w:val="36894F05"/>
    <w:rsid w:val="36BD1EDC"/>
    <w:rsid w:val="36C14165"/>
    <w:rsid w:val="36D21E81"/>
    <w:rsid w:val="36D95F89"/>
    <w:rsid w:val="37083255"/>
    <w:rsid w:val="372B2510"/>
    <w:rsid w:val="373D1531"/>
    <w:rsid w:val="37440EBB"/>
    <w:rsid w:val="37560DD6"/>
    <w:rsid w:val="376129EA"/>
    <w:rsid w:val="379231B9"/>
    <w:rsid w:val="379F24CF"/>
    <w:rsid w:val="37A61E5A"/>
    <w:rsid w:val="37B25C6C"/>
    <w:rsid w:val="37D31A24"/>
    <w:rsid w:val="38114D8C"/>
    <w:rsid w:val="3812280E"/>
    <w:rsid w:val="38173412"/>
    <w:rsid w:val="381E081F"/>
    <w:rsid w:val="384719E3"/>
    <w:rsid w:val="38961762"/>
    <w:rsid w:val="38DF0C5D"/>
    <w:rsid w:val="38E1635E"/>
    <w:rsid w:val="39022116"/>
    <w:rsid w:val="3952319A"/>
    <w:rsid w:val="396665B7"/>
    <w:rsid w:val="397101CC"/>
    <w:rsid w:val="398E1CFA"/>
    <w:rsid w:val="39A43E9E"/>
    <w:rsid w:val="39A706A6"/>
    <w:rsid w:val="39B70940"/>
    <w:rsid w:val="39F63CA8"/>
    <w:rsid w:val="3A152ED8"/>
    <w:rsid w:val="3A415021"/>
    <w:rsid w:val="3A584C46"/>
    <w:rsid w:val="3A721073"/>
    <w:rsid w:val="3ABD23EC"/>
    <w:rsid w:val="3AF40348"/>
    <w:rsid w:val="3AF712CC"/>
    <w:rsid w:val="3B044D5F"/>
    <w:rsid w:val="3B1D370A"/>
    <w:rsid w:val="3B3C3FBF"/>
    <w:rsid w:val="3B425EC8"/>
    <w:rsid w:val="3B601BF5"/>
    <w:rsid w:val="3B6E2210"/>
    <w:rsid w:val="3B6E698C"/>
    <w:rsid w:val="3B7A6022"/>
    <w:rsid w:val="3B8678B6"/>
    <w:rsid w:val="3B980E56"/>
    <w:rsid w:val="3BA06262"/>
    <w:rsid w:val="3BB9138A"/>
    <w:rsid w:val="3BC5739B"/>
    <w:rsid w:val="3C202033"/>
    <w:rsid w:val="3C2970C0"/>
    <w:rsid w:val="3C3663D5"/>
    <w:rsid w:val="3C7265BA"/>
    <w:rsid w:val="3CB90F2D"/>
    <w:rsid w:val="3CC2763E"/>
    <w:rsid w:val="3CD47558"/>
    <w:rsid w:val="3CEA4F7F"/>
    <w:rsid w:val="3D461E16"/>
    <w:rsid w:val="3D4A629D"/>
    <w:rsid w:val="3D56682D"/>
    <w:rsid w:val="3D5855B3"/>
    <w:rsid w:val="3D68584E"/>
    <w:rsid w:val="3D6E7757"/>
    <w:rsid w:val="3D8F7C8C"/>
    <w:rsid w:val="3DB44648"/>
    <w:rsid w:val="3DBE07DB"/>
    <w:rsid w:val="3DF21F2E"/>
    <w:rsid w:val="3DFB283E"/>
    <w:rsid w:val="3E012549"/>
    <w:rsid w:val="3E0C635B"/>
    <w:rsid w:val="3E1E6276"/>
    <w:rsid w:val="3E3826A3"/>
    <w:rsid w:val="3E6B6375"/>
    <w:rsid w:val="3E6E72FA"/>
    <w:rsid w:val="3E772188"/>
    <w:rsid w:val="3E84149D"/>
    <w:rsid w:val="3F251027"/>
    <w:rsid w:val="3F767B2C"/>
    <w:rsid w:val="3FCC7236"/>
    <w:rsid w:val="3FFA5B87"/>
    <w:rsid w:val="40185137"/>
    <w:rsid w:val="40751C4D"/>
    <w:rsid w:val="407D705A"/>
    <w:rsid w:val="40B94CC0"/>
    <w:rsid w:val="4106153C"/>
    <w:rsid w:val="412133EB"/>
    <w:rsid w:val="414C1CB1"/>
    <w:rsid w:val="41841E0A"/>
    <w:rsid w:val="41CD3503"/>
    <w:rsid w:val="41E50BAA"/>
    <w:rsid w:val="420845E2"/>
    <w:rsid w:val="420A3368"/>
    <w:rsid w:val="4263727A"/>
    <w:rsid w:val="42802FA7"/>
    <w:rsid w:val="42864EB0"/>
    <w:rsid w:val="42A631E7"/>
    <w:rsid w:val="42A9416B"/>
    <w:rsid w:val="42B47F7E"/>
    <w:rsid w:val="42B86984"/>
    <w:rsid w:val="42DB5C3F"/>
    <w:rsid w:val="42EA4BD5"/>
    <w:rsid w:val="42FE3875"/>
    <w:rsid w:val="42FF12F7"/>
    <w:rsid w:val="43043580"/>
    <w:rsid w:val="43496273"/>
    <w:rsid w:val="434E26FB"/>
    <w:rsid w:val="43521101"/>
    <w:rsid w:val="4365451E"/>
    <w:rsid w:val="4389125B"/>
    <w:rsid w:val="439D5CFD"/>
    <w:rsid w:val="43CA7AC6"/>
    <w:rsid w:val="43FD3798"/>
    <w:rsid w:val="440A08B0"/>
    <w:rsid w:val="44243658"/>
    <w:rsid w:val="446B764F"/>
    <w:rsid w:val="44996E9A"/>
    <w:rsid w:val="4508017D"/>
    <w:rsid w:val="450D13D7"/>
    <w:rsid w:val="45287A02"/>
    <w:rsid w:val="455F595E"/>
    <w:rsid w:val="45780A86"/>
    <w:rsid w:val="459E6747"/>
    <w:rsid w:val="45C046FE"/>
    <w:rsid w:val="45D74323"/>
    <w:rsid w:val="46022BE9"/>
    <w:rsid w:val="465316EE"/>
    <w:rsid w:val="466A7115"/>
    <w:rsid w:val="46891BC8"/>
    <w:rsid w:val="46EE736E"/>
    <w:rsid w:val="47351CE1"/>
    <w:rsid w:val="47552596"/>
    <w:rsid w:val="47745049"/>
    <w:rsid w:val="477E5958"/>
    <w:rsid w:val="478046DF"/>
    <w:rsid w:val="478665E8"/>
    <w:rsid w:val="478A71EC"/>
    <w:rsid w:val="4795557D"/>
    <w:rsid w:val="47E17BFB"/>
    <w:rsid w:val="482C47F7"/>
    <w:rsid w:val="485324B9"/>
    <w:rsid w:val="48973EA7"/>
    <w:rsid w:val="48B7695A"/>
    <w:rsid w:val="48C749F6"/>
    <w:rsid w:val="48D6398B"/>
    <w:rsid w:val="48EC5B2F"/>
    <w:rsid w:val="49551CDB"/>
    <w:rsid w:val="49626DF3"/>
    <w:rsid w:val="4984282A"/>
    <w:rsid w:val="49A068D7"/>
    <w:rsid w:val="49DD673C"/>
    <w:rsid w:val="49E64E4D"/>
    <w:rsid w:val="4A113713"/>
    <w:rsid w:val="4A4B25F3"/>
    <w:rsid w:val="4A4D7CF5"/>
    <w:rsid w:val="4A6B72A5"/>
    <w:rsid w:val="4A7F5F45"/>
    <w:rsid w:val="4AB27A19"/>
    <w:rsid w:val="4AB42F1C"/>
    <w:rsid w:val="4AF64C8A"/>
    <w:rsid w:val="4B547222"/>
    <w:rsid w:val="4B5F55B3"/>
    <w:rsid w:val="4BB949C8"/>
    <w:rsid w:val="4BC81760"/>
    <w:rsid w:val="4C207BF0"/>
    <w:rsid w:val="4C2D2789"/>
    <w:rsid w:val="4C39659B"/>
    <w:rsid w:val="4C457E30"/>
    <w:rsid w:val="4C5216C4"/>
    <w:rsid w:val="4C881B9E"/>
    <w:rsid w:val="4CDF25AC"/>
    <w:rsid w:val="4CEB3E41"/>
    <w:rsid w:val="4CF46CCF"/>
    <w:rsid w:val="4D06246C"/>
    <w:rsid w:val="4D102D7B"/>
    <w:rsid w:val="4D185C09"/>
    <w:rsid w:val="4D291727"/>
    <w:rsid w:val="4D3F38CB"/>
    <w:rsid w:val="4D447D52"/>
    <w:rsid w:val="4D480957"/>
    <w:rsid w:val="4DB12905"/>
    <w:rsid w:val="4DB20386"/>
    <w:rsid w:val="4DE44058"/>
    <w:rsid w:val="4E4C4D02"/>
    <w:rsid w:val="4E6558AB"/>
    <w:rsid w:val="4E6E3FBD"/>
    <w:rsid w:val="4E7E09D4"/>
    <w:rsid w:val="4EE10A78"/>
    <w:rsid w:val="4F362701"/>
    <w:rsid w:val="4F4F10AC"/>
    <w:rsid w:val="4F5C03C2"/>
    <w:rsid w:val="4F722566"/>
    <w:rsid w:val="4F7F3DFA"/>
    <w:rsid w:val="4FA15633"/>
    <w:rsid w:val="506E1504"/>
    <w:rsid w:val="50A84B61"/>
    <w:rsid w:val="50D756B0"/>
    <w:rsid w:val="50E7594A"/>
    <w:rsid w:val="5140185C"/>
    <w:rsid w:val="51486C69"/>
    <w:rsid w:val="517664B3"/>
    <w:rsid w:val="518A09D7"/>
    <w:rsid w:val="518B6458"/>
    <w:rsid w:val="51AF1B10"/>
    <w:rsid w:val="51E000E1"/>
    <w:rsid w:val="51E31065"/>
    <w:rsid w:val="51ED2C7A"/>
    <w:rsid w:val="52360AEF"/>
    <w:rsid w:val="528C3A7D"/>
    <w:rsid w:val="52983D6E"/>
    <w:rsid w:val="52CE7D69"/>
    <w:rsid w:val="52DE0004"/>
    <w:rsid w:val="52E07C83"/>
    <w:rsid w:val="531910E2"/>
    <w:rsid w:val="531D7AE8"/>
    <w:rsid w:val="532D7D83"/>
    <w:rsid w:val="53586648"/>
    <w:rsid w:val="53722A75"/>
    <w:rsid w:val="53987432"/>
    <w:rsid w:val="539D38BA"/>
    <w:rsid w:val="53A40CC6"/>
    <w:rsid w:val="53B312E1"/>
    <w:rsid w:val="53C1637F"/>
    <w:rsid w:val="53CE790C"/>
    <w:rsid w:val="53D85C9D"/>
    <w:rsid w:val="53EE5C42"/>
    <w:rsid w:val="5462237E"/>
    <w:rsid w:val="54684287"/>
    <w:rsid w:val="549B37DD"/>
    <w:rsid w:val="54AB3A77"/>
    <w:rsid w:val="54BB6290"/>
    <w:rsid w:val="54E33BD1"/>
    <w:rsid w:val="54E762B6"/>
    <w:rsid w:val="551C5030"/>
    <w:rsid w:val="553C7AE3"/>
    <w:rsid w:val="554D57FF"/>
    <w:rsid w:val="559417F6"/>
    <w:rsid w:val="55E54A78"/>
    <w:rsid w:val="55E67F7B"/>
    <w:rsid w:val="560165A7"/>
    <w:rsid w:val="560817B5"/>
    <w:rsid w:val="562D06F0"/>
    <w:rsid w:val="56611E44"/>
    <w:rsid w:val="566156C7"/>
    <w:rsid w:val="56A64B36"/>
    <w:rsid w:val="56A95ABB"/>
    <w:rsid w:val="56CC14F3"/>
    <w:rsid w:val="56D82D87"/>
    <w:rsid w:val="57432436"/>
    <w:rsid w:val="57707A82"/>
    <w:rsid w:val="57851FA6"/>
    <w:rsid w:val="578E7032"/>
    <w:rsid w:val="57A90EE1"/>
    <w:rsid w:val="57BC687D"/>
    <w:rsid w:val="57D342A4"/>
    <w:rsid w:val="57DD2635"/>
    <w:rsid w:val="57E83383"/>
    <w:rsid w:val="58132B0F"/>
    <w:rsid w:val="58BB2023"/>
    <w:rsid w:val="58E24461"/>
    <w:rsid w:val="58F16C7A"/>
    <w:rsid w:val="59016F14"/>
    <w:rsid w:val="593D5A74"/>
    <w:rsid w:val="59442E81"/>
    <w:rsid w:val="596D4045"/>
    <w:rsid w:val="597162CE"/>
    <w:rsid w:val="59DD33FF"/>
    <w:rsid w:val="5A157CD6"/>
    <w:rsid w:val="5A245D72"/>
    <w:rsid w:val="5A432DA3"/>
    <w:rsid w:val="5A4717AA"/>
    <w:rsid w:val="5A864B12"/>
    <w:rsid w:val="5AE503AE"/>
    <w:rsid w:val="5AEF0CBE"/>
    <w:rsid w:val="5B0D5CEF"/>
    <w:rsid w:val="5B1259FA"/>
    <w:rsid w:val="5B3710B2"/>
    <w:rsid w:val="5B4019C2"/>
    <w:rsid w:val="5BB90387"/>
    <w:rsid w:val="5BE14DCE"/>
    <w:rsid w:val="5BEB56DE"/>
    <w:rsid w:val="5C1C2629"/>
    <w:rsid w:val="5C4260EC"/>
    <w:rsid w:val="5C5C0E94"/>
    <w:rsid w:val="5C9E5181"/>
    <w:rsid w:val="5CF55B90"/>
    <w:rsid w:val="5CF86B15"/>
    <w:rsid w:val="5D1F2257"/>
    <w:rsid w:val="5D2F6C6E"/>
    <w:rsid w:val="5D3F4D0A"/>
    <w:rsid w:val="5D6B1052"/>
    <w:rsid w:val="5D7673E3"/>
    <w:rsid w:val="5D7C12EC"/>
    <w:rsid w:val="5D803576"/>
    <w:rsid w:val="5D8344FA"/>
    <w:rsid w:val="5D915A0E"/>
    <w:rsid w:val="5D923490"/>
    <w:rsid w:val="5D99089C"/>
    <w:rsid w:val="5D9F27A5"/>
    <w:rsid w:val="5DD76183"/>
    <w:rsid w:val="5DF20031"/>
    <w:rsid w:val="5DF631B4"/>
    <w:rsid w:val="5E0302CC"/>
    <w:rsid w:val="5E766F86"/>
    <w:rsid w:val="5E83409D"/>
    <w:rsid w:val="5EDB472C"/>
    <w:rsid w:val="5EDE0F33"/>
    <w:rsid w:val="5EE2793A"/>
    <w:rsid w:val="5EEB49C6"/>
    <w:rsid w:val="5EFE39E7"/>
    <w:rsid w:val="5F245E25"/>
    <w:rsid w:val="5F3D0F4D"/>
    <w:rsid w:val="5F51216C"/>
    <w:rsid w:val="5F5159EF"/>
    <w:rsid w:val="5F685614"/>
    <w:rsid w:val="5F715F24"/>
    <w:rsid w:val="5F7F0ABD"/>
    <w:rsid w:val="5F8D7DD2"/>
    <w:rsid w:val="5F976163"/>
    <w:rsid w:val="5F9C6D68"/>
    <w:rsid w:val="5FB9411A"/>
    <w:rsid w:val="5FC47F2C"/>
    <w:rsid w:val="5FCE083C"/>
    <w:rsid w:val="5FDB5953"/>
    <w:rsid w:val="5FE96E67"/>
    <w:rsid w:val="60E53887"/>
    <w:rsid w:val="61051BBD"/>
    <w:rsid w:val="6118535B"/>
    <w:rsid w:val="611F2767"/>
    <w:rsid w:val="61254671"/>
    <w:rsid w:val="612A5275"/>
    <w:rsid w:val="615728C1"/>
    <w:rsid w:val="616C6FE3"/>
    <w:rsid w:val="617556F4"/>
    <w:rsid w:val="61965C29"/>
    <w:rsid w:val="61F8244A"/>
    <w:rsid w:val="61FF1DD5"/>
    <w:rsid w:val="620826E5"/>
    <w:rsid w:val="620D32E9"/>
    <w:rsid w:val="622E70A1"/>
    <w:rsid w:val="627F5BA7"/>
    <w:rsid w:val="62AC7970"/>
    <w:rsid w:val="62B75D01"/>
    <w:rsid w:val="62BA2508"/>
    <w:rsid w:val="62D00E29"/>
    <w:rsid w:val="62D665B5"/>
    <w:rsid w:val="62F51069"/>
    <w:rsid w:val="63415C65"/>
    <w:rsid w:val="63696E29"/>
    <w:rsid w:val="63852ED6"/>
    <w:rsid w:val="63A55989"/>
    <w:rsid w:val="63B32720"/>
    <w:rsid w:val="63B36E9D"/>
    <w:rsid w:val="63D0424F"/>
    <w:rsid w:val="63D66158"/>
    <w:rsid w:val="63EB60FE"/>
    <w:rsid w:val="64053424"/>
    <w:rsid w:val="640F75B7"/>
    <w:rsid w:val="643F2304"/>
    <w:rsid w:val="646734C9"/>
    <w:rsid w:val="649B2A1E"/>
    <w:rsid w:val="64A62FAD"/>
    <w:rsid w:val="64AD61BC"/>
    <w:rsid w:val="64CC31ED"/>
    <w:rsid w:val="64F94FB6"/>
    <w:rsid w:val="65083052"/>
    <w:rsid w:val="651A0D6E"/>
    <w:rsid w:val="651D1CF3"/>
    <w:rsid w:val="65274800"/>
    <w:rsid w:val="652D418B"/>
    <w:rsid w:val="65333E96"/>
    <w:rsid w:val="653D69A4"/>
    <w:rsid w:val="657A6809"/>
    <w:rsid w:val="6598163C"/>
    <w:rsid w:val="65D66F23"/>
    <w:rsid w:val="65DF7832"/>
    <w:rsid w:val="66025468"/>
    <w:rsid w:val="660718F0"/>
    <w:rsid w:val="662A244F"/>
    <w:rsid w:val="66531D6F"/>
    <w:rsid w:val="66555272"/>
    <w:rsid w:val="66693F13"/>
    <w:rsid w:val="666E039B"/>
    <w:rsid w:val="669C3468"/>
    <w:rsid w:val="66A32DF3"/>
    <w:rsid w:val="66A504F5"/>
    <w:rsid w:val="66BF6EA0"/>
    <w:rsid w:val="66D04BBC"/>
    <w:rsid w:val="66DC6450"/>
    <w:rsid w:val="673100D9"/>
    <w:rsid w:val="67356ADF"/>
    <w:rsid w:val="676A1537"/>
    <w:rsid w:val="677E01D8"/>
    <w:rsid w:val="67D0475F"/>
    <w:rsid w:val="67E77C07"/>
    <w:rsid w:val="67F33A1A"/>
    <w:rsid w:val="680229AF"/>
    <w:rsid w:val="681B135B"/>
    <w:rsid w:val="684B1EAA"/>
    <w:rsid w:val="68D15606"/>
    <w:rsid w:val="693B7234"/>
    <w:rsid w:val="696403F8"/>
    <w:rsid w:val="696B7D83"/>
    <w:rsid w:val="69900EBC"/>
    <w:rsid w:val="69CB581E"/>
    <w:rsid w:val="69FA636D"/>
    <w:rsid w:val="6A0F2A90"/>
    <w:rsid w:val="6A1C4324"/>
    <w:rsid w:val="6A306848"/>
    <w:rsid w:val="6A3142C9"/>
    <w:rsid w:val="6A670F20"/>
    <w:rsid w:val="6AA73F08"/>
    <w:rsid w:val="6ACA793F"/>
    <w:rsid w:val="6ACE6346"/>
    <w:rsid w:val="6AFE019A"/>
    <w:rsid w:val="6B02331D"/>
    <w:rsid w:val="6B344DF0"/>
    <w:rsid w:val="6B4E599A"/>
    <w:rsid w:val="6B6668C4"/>
    <w:rsid w:val="6B961612"/>
    <w:rsid w:val="6B9E6A1E"/>
    <w:rsid w:val="6BB9504A"/>
    <w:rsid w:val="6BCA2D65"/>
    <w:rsid w:val="6BD15F74"/>
    <w:rsid w:val="6C25217A"/>
    <w:rsid w:val="6C311810"/>
    <w:rsid w:val="6C61455E"/>
    <w:rsid w:val="6C7553FD"/>
    <w:rsid w:val="6C770900"/>
    <w:rsid w:val="6CB23063"/>
    <w:rsid w:val="6CBE10EF"/>
    <w:rsid w:val="6CDD60A6"/>
    <w:rsid w:val="6CEA0C3F"/>
    <w:rsid w:val="6D010864"/>
    <w:rsid w:val="6D446D4F"/>
    <w:rsid w:val="6DCE6CB3"/>
    <w:rsid w:val="6DCF21B6"/>
    <w:rsid w:val="6DDE27D0"/>
    <w:rsid w:val="6E112C1F"/>
    <w:rsid w:val="6E2C4ACE"/>
    <w:rsid w:val="6E35795C"/>
    <w:rsid w:val="6E3A1865"/>
    <w:rsid w:val="6E981BFF"/>
    <w:rsid w:val="6EAF50A7"/>
    <w:rsid w:val="6ECA7E4F"/>
    <w:rsid w:val="6ED616E4"/>
    <w:rsid w:val="6EE05876"/>
    <w:rsid w:val="6EEA6186"/>
    <w:rsid w:val="6EF82F1D"/>
    <w:rsid w:val="6EFD73A5"/>
    <w:rsid w:val="6F247264"/>
    <w:rsid w:val="6F275FEB"/>
    <w:rsid w:val="6F3C270D"/>
    <w:rsid w:val="6F5F19C8"/>
    <w:rsid w:val="6F601648"/>
    <w:rsid w:val="6F8B6033"/>
    <w:rsid w:val="6FA71DBC"/>
    <w:rsid w:val="6FAA4F3F"/>
    <w:rsid w:val="6FAD1747"/>
    <w:rsid w:val="6FC56DEE"/>
    <w:rsid w:val="6FFC4D49"/>
    <w:rsid w:val="703838A9"/>
    <w:rsid w:val="70466442"/>
    <w:rsid w:val="70483B44"/>
    <w:rsid w:val="706224EF"/>
    <w:rsid w:val="708E6837"/>
    <w:rsid w:val="70D16026"/>
    <w:rsid w:val="70D23AA8"/>
    <w:rsid w:val="70F41A5E"/>
    <w:rsid w:val="71076500"/>
    <w:rsid w:val="712C1BB8"/>
    <w:rsid w:val="712C543B"/>
    <w:rsid w:val="71504376"/>
    <w:rsid w:val="719E6674"/>
    <w:rsid w:val="71D2364B"/>
    <w:rsid w:val="71FC2290"/>
    <w:rsid w:val="721E0247"/>
    <w:rsid w:val="722E3D64"/>
    <w:rsid w:val="72380DF1"/>
    <w:rsid w:val="726915C0"/>
    <w:rsid w:val="728B087B"/>
    <w:rsid w:val="72920205"/>
    <w:rsid w:val="7297468D"/>
    <w:rsid w:val="72C72C5E"/>
    <w:rsid w:val="72EB4117"/>
    <w:rsid w:val="731D2368"/>
    <w:rsid w:val="7328617A"/>
    <w:rsid w:val="735E4456"/>
    <w:rsid w:val="737A0503"/>
    <w:rsid w:val="73827B0E"/>
    <w:rsid w:val="738E13A2"/>
    <w:rsid w:val="73B272DC"/>
    <w:rsid w:val="73B410C3"/>
    <w:rsid w:val="73B415E2"/>
    <w:rsid w:val="73CA3785"/>
    <w:rsid w:val="73FF61DE"/>
    <w:rsid w:val="74096AED"/>
    <w:rsid w:val="741F0C91"/>
    <w:rsid w:val="742873A2"/>
    <w:rsid w:val="744C2A5A"/>
    <w:rsid w:val="745E61F7"/>
    <w:rsid w:val="74727416"/>
    <w:rsid w:val="749566D1"/>
    <w:rsid w:val="74CE7B30"/>
    <w:rsid w:val="74D70440"/>
    <w:rsid w:val="74D900BF"/>
    <w:rsid w:val="74F963F6"/>
    <w:rsid w:val="750C7615"/>
    <w:rsid w:val="752217B8"/>
    <w:rsid w:val="75653527"/>
    <w:rsid w:val="75A67813"/>
    <w:rsid w:val="75C003BD"/>
    <w:rsid w:val="75D528E1"/>
    <w:rsid w:val="75D75DE4"/>
    <w:rsid w:val="75E64D79"/>
    <w:rsid w:val="75F1440F"/>
    <w:rsid w:val="75FD0222"/>
    <w:rsid w:val="762848E9"/>
    <w:rsid w:val="7646191B"/>
    <w:rsid w:val="765C3ABF"/>
    <w:rsid w:val="76704CDE"/>
    <w:rsid w:val="7696299F"/>
    <w:rsid w:val="76C61E69"/>
    <w:rsid w:val="772C0914"/>
    <w:rsid w:val="773C312D"/>
    <w:rsid w:val="773D0BAE"/>
    <w:rsid w:val="77F73860"/>
    <w:rsid w:val="77FF2E6B"/>
    <w:rsid w:val="782A7532"/>
    <w:rsid w:val="78491FE5"/>
    <w:rsid w:val="786D349E"/>
    <w:rsid w:val="78F03A78"/>
    <w:rsid w:val="7907149F"/>
    <w:rsid w:val="793357E6"/>
    <w:rsid w:val="79395171"/>
    <w:rsid w:val="795A56A5"/>
    <w:rsid w:val="795B3127"/>
    <w:rsid w:val="797030CC"/>
    <w:rsid w:val="79905B80"/>
    <w:rsid w:val="799B077A"/>
    <w:rsid w:val="79CE3466"/>
    <w:rsid w:val="79E65289"/>
    <w:rsid w:val="79FA77AD"/>
    <w:rsid w:val="7A0635C0"/>
    <w:rsid w:val="7A263AF5"/>
    <w:rsid w:val="7A373D8F"/>
    <w:rsid w:val="7A5A0ACB"/>
    <w:rsid w:val="7A5F4F53"/>
    <w:rsid w:val="7AA2343E"/>
    <w:rsid w:val="7AC426F9"/>
    <w:rsid w:val="7ADB489D"/>
    <w:rsid w:val="7AF31F44"/>
    <w:rsid w:val="7B116F75"/>
    <w:rsid w:val="7B234C91"/>
    <w:rsid w:val="7B242713"/>
    <w:rsid w:val="7B8D4340"/>
    <w:rsid w:val="7B912D47"/>
    <w:rsid w:val="7BC5229C"/>
    <w:rsid w:val="7BCF3EB0"/>
    <w:rsid w:val="7BEDBE5D"/>
    <w:rsid w:val="7BF11E66"/>
    <w:rsid w:val="7BF31AE6"/>
    <w:rsid w:val="7C336153"/>
    <w:rsid w:val="7C401BE6"/>
    <w:rsid w:val="7C8F51E8"/>
    <w:rsid w:val="7CC16CBC"/>
    <w:rsid w:val="7CC940C8"/>
    <w:rsid w:val="7CE426F4"/>
    <w:rsid w:val="7D084EB2"/>
    <w:rsid w:val="7D3B0B84"/>
    <w:rsid w:val="7D5B3637"/>
    <w:rsid w:val="7D756300"/>
    <w:rsid w:val="7D7B60EA"/>
    <w:rsid w:val="7D9C40A0"/>
    <w:rsid w:val="7DB939D1"/>
    <w:rsid w:val="7DBC01D8"/>
    <w:rsid w:val="7DF2702E"/>
    <w:rsid w:val="7DF847BA"/>
    <w:rsid w:val="7E021846"/>
    <w:rsid w:val="7E071551"/>
    <w:rsid w:val="7E2A628E"/>
    <w:rsid w:val="7E607661"/>
    <w:rsid w:val="7E676FEC"/>
    <w:rsid w:val="7EBE327E"/>
    <w:rsid w:val="7EBF2EFE"/>
    <w:rsid w:val="7EC21C85"/>
    <w:rsid w:val="7EE76641"/>
    <w:rsid w:val="7EF97BE0"/>
    <w:rsid w:val="7F0204F0"/>
    <w:rsid w:val="7F27742A"/>
    <w:rsid w:val="7FB80F18"/>
    <w:rsid w:val="9F7206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Text"/>
    <w:basedOn w:val="1"/>
    <w:semiHidden/>
    <w:qFormat/>
    <w:uiPriority w:val="0"/>
    <w:rPr>
      <w:rFonts w:ascii="仿宋" w:hAnsi="仿宋" w:eastAsia="仿宋" w:cs="仿宋"/>
      <w:sz w:val="12"/>
      <w:szCs w:val="12"/>
      <w:lang w:val="en-US" w:eastAsia="en-US" w:bidi="ar-SA"/>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19887</Words>
  <Characters>20778</Characters>
  <Lines>0</Lines>
  <Paragraphs>0</Paragraphs>
  <TotalTime>9</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2023-08-11T16:36:00Z</dcterms:created>
  <dc:creator>邵珊</dc:creator>
  <cp:lastModifiedBy>greatwall</cp:lastModifiedBy>
  <cp:lastPrinted>2023-10-27T09:48:00Z</cp:lastPrinted>
  <dcterms:modified xsi:type="dcterms:W3CDTF">2023-11-01T17:30:37Z</dcterms:modified>
  <dc:title>霍州市人民政府办公室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2023-08-17T12:03:00Z</vt:filetime>
  </property>
  <property fmtid="{D5CDD505-2E9C-101B-9397-08002B2CF9AE}" pid="4" name="KSOProductBuildVer">
    <vt:lpwstr>2052-11.8.2.10125</vt:lpwstr>
  </property>
  <property fmtid="{D5CDD505-2E9C-101B-9397-08002B2CF9AE}" pid="5" name="ICV">
    <vt:lpwstr>AB62AEC07C3D4562AD6B383E72D28861_13</vt:lpwstr>
  </property>
</Properties>
</file>